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b/>
          <w:bCs/>
          <w:snapToGrid w:val="0"/>
          <w:kern w:val="0"/>
          <w:sz w:val="24"/>
          <w:lang w:val="en-US"/>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rPr>
        <w:t>2</w:t>
      </w:r>
      <w:r>
        <w:rPr>
          <w:rFonts w:hint="eastAsia" w:ascii="Arial" w:hAnsi="Arial" w:cs="Arial"/>
          <w:b/>
          <w:bCs/>
          <w:snapToGrid w:val="0"/>
          <w:kern w:val="0"/>
          <w:sz w:val="24"/>
          <w:lang w:val="en-US" w:eastAsia="zh-CN"/>
        </w:rPr>
        <w:t>1</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R2-2</w:t>
      </w:r>
      <w:r>
        <w:rPr>
          <w:rFonts w:hint="eastAsia" w:ascii="Arial" w:hAnsi="Arial" w:cs="Arial"/>
          <w:b/>
          <w:bCs/>
          <w:snapToGrid w:val="0"/>
          <w:kern w:val="0"/>
          <w:sz w:val="24"/>
          <w:lang w:val="en-US" w:eastAsia="zh-CN"/>
        </w:rPr>
        <w:t>3</w:t>
      </w:r>
      <w:r>
        <w:rPr>
          <w:rFonts w:hint="eastAsia" w:ascii="Arial" w:hAnsi="Arial" w:cs="Arial"/>
          <w:b/>
          <w:sz w:val="24"/>
          <w:szCs w:val="24"/>
          <w:lang w:val="en-US" w:eastAsia="zh-CN"/>
        </w:rPr>
        <w:t>01143</w:t>
      </w:r>
    </w:p>
    <w:p>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hint="eastAsia" w:ascii="Arial" w:hAnsi="Arial" w:cs="Arial"/>
          <w:b/>
          <w:bCs/>
          <w:kern w:val="0"/>
          <w:sz w:val="24"/>
          <w:lang w:val="en-US" w:eastAsia="zh-CN"/>
        </w:rPr>
        <w:t>Athens, Greece, 27</w:t>
      </w:r>
      <w:r>
        <w:rPr>
          <w:rFonts w:ascii="Arial" w:hAnsi="Arial" w:cs="Arial"/>
          <w:b/>
          <w:bCs/>
          <w:kern w:val="0"/>
          <w:sz w:val="24"/>
          <w:vertAlign w:val="superscript"/>
        </w:rPr>
        <w:t>th</w:t>
      </w:r>
      <w:r>
        <w:rPr>
          <w:rFonts w:ascii="Arial" w:hAnsi="Arial" w:cs="Arial"/>
          <w:b/>
          <w:bCs/>
          <w:kern w:val="0"/>
          <w:sz w:val="24"/>
        </w:rPr>
        <w:t xml:space="preserve"> </w:t>
      </w:r>
      <w:r>
        <w:rPr>
          <w:rFonts w:hint="eastAsia" w:ascii="Arial" w:hAnsi="Arial" w:cs="Arial"/>
          <w:b/>
          <w:bCs/>
          <w:kern w:val="0"/>
          <w:sz w:val="24"/>
          <w:lang w:val="en-US" w:eastAsia="zh-CN"/>
        </w:rPr>
        <w:t xml:space="preserve">February </w:t>
      </w:r>
      <w:r>
        <w:rPr>
          <w:rFonts w:ascii="Arial" w:hAnsi="Arial" w:cs="Arial"/>
          <w:b/>
          <w:bCs/>
          <w:kern w:val="0"/>
          <w:sz w:val="24"/>
        </w:rPr>
        <w:t xml:space="preserve">– </w:t>
      </w:r>
      <w:r>
        <w:rPr>
          <w:rFonts w:hint="eastAsia" w:ascii="Arial" w:hAnsi="Arial" w:cs="Arial"/>
          <w:b/>
          <w:bCs/>
          <w:kern w:val="0"/>
          <w:sz w:val="24"/>
          <w:lang w:val="en-US" w:eastAsia="zh-CN"/>
        </w:rPr>
        <w:t>3</w:t>
      </w:r>
      <w:r>
        <w:rPr>
          <w:rFonts w:hint="eastAsia" w:ascii="Arial" w:hAnsi="Arial" w:cs="Arial"/>
          <w:b/>
          <w:bCs/>
          <w:kern w:val="0"/>
          <w:sz w:val="24"/>
          <w:vertAlign w:val="superscript"/>
          <w:lang w:val="en-US" w:eastAsia="zh-CN"/>
        </w:rPr>
        <w:t>rd</w:t>
      </w:r>
      <w:r>
        <w:rPr>
          <w:rFonts w:ascii="Arial" w:hAnsi="Arial" w:cs="Arial"/>
          <w:b/>
          <w:bCs/>
          <w:kern w:val="0"/>
          <w:sz w:val="24"/>
        </w:rPr>
        <w:t xml:space="preserve"> </w:t>
      </w:r>
      <w:r>
        <w:rPr>
          <w:rFonts w:hint="eastAsia" w:ascii="Arial" w:hAnsi="Arial" w:cs="Arial"/>
          <w:b/>
          <w:bCs/>
          <w:kern w:val="0"/>
          <w:sz w:val="24"/>
          <w:lang w:val="en-US" w:eastAsia="zh-CN"/>
        </w:rPr>
        <w:t>March</w:t>
      </w:r>
      <w:r>
        <w:rPr>
          <w:rFonts w:ascii="Arial" w:hAnsi="Arial" w:cs="Arial"/>
          <w:b/>
          <w:bCs/>
          <w:kern w:val="0"/>
          <w:sz w:val="24"/>
        </w:rPr>
        <w:t xml:space="preserve"> 202</w:t>
      </w:r>
      <w:r>
        <w:rPr>
          <w:rFonts w:hint="eastAsia" w:ascii="Arial" w:hAnsi="Arial" w:cs="Arial"/>
          <w:b/>
          <w:bCs/>
          <w:kern w:val="0"/>
          <w:sz w:val="24"/>
          <w:lang w:val="en-US" w:eastAsia="zh-CN"/>
        </w:rPr>
        <w:t>3</w:t>
      </w:r>
      <w:r>
        <w:rPr>
          <w:rFonts w:ascii="Arial" w:hAnsi="Arial" w:cs="Arial"/>
          <w:b/>
          <w:bCs/>
          <w:kern w:val="0"/>
          <w:sz w:val="24"/>
          <w:lang w:val="en-GB"/>
        </w:rPr>
        <w:t xml:space="preserve">             </w:t>
      </w:r>
      <w:r>
        <w:rPr>
          <w:rFonts w:hint="eastAsia" w:ascii="Arial" w:hAnsi="Arial" w:cs="Arial"/>
          <w:b/>
          <w:bCs/>
          <w:kern w:val="0"/>
          <w:sz w:val="24"/>
          <w:lang w:val="en-US" w:eastAsia="zh-CN"/>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Consideration </w:t>
      </w:r>
      <w:r>
        <w:rPr>
          <w:rFonts w:ascii="Arial" w:hAnsi="Arial" w:cs="Arial"/>
          <w:b/>
          <w:bCs/>
          <w:snapToGrid w:val="0"/>
          <w:kern w:val="0"/>
          <w:sz w:val="24"/>
        </w:rPr>
        <w:t xml:space="preserve">on </w:t>
      </w:r>
      <w:r>
        <w:rPr>
          <w:rFonts w:hint="eastAsia" w:ascii="Arial" w:hAnsi="Arial" w:cs="Arial"/>
          <w:b/>
          <w:bCs/>
          <w:snapToGrid w:val="0"/>
          <w:kern w:val="0"/>
          <w:sz w:val="24"/>
        </w:rPr>
        <w:t>HO enhancements in NTN</w:t>
      </w:r>
    </w:p>
    <w:p>
      <w:pPr>
        <w:overflowPunct w:val="0"/>
        <w:autoSpaceDE w:val="0"/>
        <w:autoSpaceDN w:val="0"/>
        <w:adjustRightInd w:val="0"/>
        <w:snapToGrid w:val="0"/>
        <w:spacing w:line="240" w:lineRule="auto"/>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8.7.4</w:t>
      </w:r>
      <w:r>
        <w:rPr>
          <w:rFonts w:hint="eastAsia" w:ascii="Arial" w:hAnsi="Arial" w:cs="Arial"/>
          <w:b/>
          <w:bCs/>
          <w:snapToGrid w:val="0"/>
          <w:kern w:val="0"/>
          <w:sz w:val="24"/>
        </w:rPr>
        <w:t>.</w:t>
      </w:r>
      <w:r>
        <w:rPr>
          <w:rFonts w:hint="eastAsia" w:ascii="Arial" w:hAnsi="Arial" w:cs="Arial"/>
          <w:b/>
          <w:bCs/>
          <w:snapToGrid w:val="0"/>
          <w:kern w:val="0"/>
          <w:sz w:val="24"/>
          <w:lang w:val="en-US" w:eastAsia="zh-CN"/>
        </w:rPr>
        <w:t>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jc w:val="left"/>
        <w:rPr>
          <w:rFonts w:ascii="Arial" w:hAnsi="Arial" w:cs="Arial"/>
          <w:sz w:val="20"/>
          <w:szCs w:val="20"/>
        </w:rPr>
      </w:pPr>
      <w:r>
        <w:rPr>
          <w:rFonts w:hint="eastAsia" w:ascii="Arial" w:hAnsi="Arial" w:cs="Arial"/>
          <w:sz w:val="20"/>
          <w:szCs w:val="20"/>
        </w:rPr>
        <w:t>Below agreements are achieved in RAN2#119bis-e meeting:</w:t>
      </w:r>
    </w:p>
    <w:tbl>
      <w:tblPr>
        <w:tblStyle w:val="57"/>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0" w:type="dxa"/>
          </w:tcPr>
          <w:p>
            <w:pPr>
              <w:numPr>
                <w:ilvl w:val="0"/>
                <w:numId w:val="4"/>
              </w:numPr>
              <w:spacing w:line="240" w:lineRule="auto"/>
              <w:jc w:val="left"/>
              <w:rPr>
                <w:rFonts w:hint="default" w:ascii="Times New Roman" w:hAnsi="Times New Roman" w:cs="Times New Roman"/>
                <w:bCs/>
                <w:kern w:val="0"/>
                <w:sz w:val="20"/>
                <w:szCs w:val="20"/>
                <w:lang w:eastAsia="en-US"/>
              </w:rPr>
            </w:pPr>
            <w:r>
              <w:rPr>
                <w:rFonts w:hint="default" w:ascii="Times New Roman" w:hAnsi="Times New Roman" w:cs="Times New Roman"/>
                <w:bCs/>
                <w:kern w:val="0"/>
                <w:sz w:val="20"/>
                <w:szCs w:val="20"/>
                <w:lang w:eastAsia="en-US"/>
              </w:rPr>
              <w:t>RAN2 can further consider whether some information in the handover command that can be common to all UEs, can be delivered to UEs in common signalling and if there is real benefit (in terms of signalling overhead reduction) in this</w:t>
            </w:r>
          </w:p>
          <w:p>
            <w:pPr>
              <w:numPr>
                <w:ilvl w:val="0"/>
                <w:numId w:val="4"/>
              </w:numPr>
              <w:spacing w:line="240" w:lineRule="auto"/>
              <w:jc w:val="left"/>
              <w:rPr>
                <w:rFonts w:hint="default" w:ascii="Times New Roman" w:hAnsi="Times New Roman" w:cs="Times New Roman"/>
                <w:bCs/>
                <w:kern w:val="0"/>
                <w:sz w:val="20"/>
                <w:szCs w:val="20"/>
                <w:lang w:eastAsia="en-US"/>
              </w:rPr>
            </w:pPr>
            <w:r>
              <w:rPr>
                <w:rFonts w:hint="default" w:ascii="Times New Roman" w:hAnsi="Times New Roman" w:cs="Times New Roman"/>
                <w:bCs/>
                <w:kern w:val="0"/>
                <w:sz w:val="20"/>
                <w:szCs w:val="20"/>
                <w:lang w:eastAsia="en-US"/>
              </w:rPr>
              <w:t>Send an LS to RAN1 (cc RAN4) listing the scenarios (intra-satellite, inter-satellite with same or different feeder links) and check with RAN1 in which scenarios RACH-less is possible (with no indication of RAN2 preference)</w:t>
            </w:r>
          </w:p>
          <w:p>
            <w:pPr>
              <w:numPr>
                <w:ilvl w:val="0"/>
                <w:numId w:val="4"/>
              </w:numPr>
              <w:spacing w:line="240" w:lineRule="auto"/>
              <w:jc w:val="left"/>
              <w:rPr>
                <w:rFonts w:hint="default" w:ascii="Times New Roman" w:hAnsi="Times New Roman" w:cs="Times New Roman"/>
                <w:bCs/>
                <w:kern w:val="0"/>
                <w:sz w:val="20"/>
                <w:szCs w:val="20"/>
                <w:lang w:eastAsia="en-US"/>
              </w:rPr>
            </w:pPr>
            <w:r>
              <w:rPr>
                <w:rFonts w:hint="default" w:ascii="Times New Roman" w:hAnsi="Times New Roman" w:cs="Times New Roman"/>
                <w:bCs/>
                <w:kern w:val="0"/>
                <w:sz w:val="20"/>
                <w:szCs w:val="20"/>
                <w:lang w:eastAsia="en-US"/>
              </w:rPr>
              <w:t>Continue the discussion (in future meeting) on group HO / “UE specific pre-configuration of the target cell + group HO” indication in the next meeting, also on the possible real benefits</w:t>
            </w:r>
          </w:p>
        </w:tc>
      </w:tr>
    </w:tbl>
    <w:p>
      <w:pPr>
        <w:spacing w:line="240" w:lineRule="auto"/>
        <w:jc w:val="left"/>
        <w:rPr>
          <w:rFonts w:hint="default" w:ascii="Times New Roman" w:hAnsi="Times New Roman" w:cs="Times New Roman" w:eastAsiaTheme="minorEastAsia"/>
          <w:bCs/>
          <w:kern w:val="0"/>
          <w:sz w:val="20"/>
          <w:szCs w:val="20"/>
          <w:lang w:val="en-US" w:eastAsia="zh-CN"/>
        </w:rPr>
      </w:pPr>
      <w:r>
        <w:rPr>
          <w:rFonts w:hint="default" w:ascii="Times New Roman" w:hAnsi="Times New Roman" w:cs="Times New Roman"/>
          <w:bCs/>
          <w:kern w:val="0"/>
          <w:sz w:val="20"/>
          <w:szCs w:val="20"/>
        </w:rPr>
        <w:t xml:space="preserve">In this paper, enhancements to reduce signalling overhead </w:t>
      </w:r>
      <w:r>
        <w:rPr>
          <w:rFonts w:hint="default" w:ascii="Times New Roman" w:hAnsi="Times New Roman" w:cs="Times New Roman"/>
          <w:bCs/>
          <w:kern w:val="0"/>
          <w:sz w:val="20"/>
          <w:szCs w:val="20"/>
          <w:lang w:val="en-US" w:eastAsia="zh-CN"/>
        </w:rPr>
        <w:t>for</w:t>
      </w:r>
      <w:r>
        <w:rPr>
          <w:rFonts w:hint="default" w:ascii="Times New Roman" w:hAnsi="Times New Roman" w:cs="Times New Roman"/>
          <w:bCs/>
          <w:kern w:val="0"/>
          <w:sz w:val="20"/>
          <w:szCs w:val="20"/>
        </w:rPr>
        <w:t xml:space="preserve"> intra-NTN handover are discussed</w:t>
      </w:r>
      <w:r>
        <w:rPr>
          <w:rFonts w:hint="default" w:ascii="Times New Roman" w:hAnsi="Times New Roman" w:cs="Times New Roman"/>
          <w:bCs/>
          <w:kern w:val="0"/>
          <w:sz w:val="20"/>
          <w:szCs w:val="20"/>
          <w:lang w:val="en-US" w:eastAsia="zh-CN"/>
        </w:rPr>
        <w:t>, also considering the reply LS received from RAN1.</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Toc12718547"/>
      <w:r>
        <w:rPr>
          <w:rFonts w:ascii="Arial" w:hAnsi="Arial" w:cs="Arial"/>
          <w:b w:val="0"/>
          <w:bCs w:val="0"/>
          <w:kern w:val="0"/>
          <w:sz w:val="32"/>
          <w:szCs w:val="36"/>
        </w:rPr>
        <w:t>Discussion</w:t>
      </w:r>
    </w:p>
    <w:p>
      <w:pPr>
        <w:pStyle w:val="3"/>
        <w:numPr>
          <w:ilvl w:val="1"/>
          <w:numId w:val="3"/>
        </w:numPr>
        <w:rPr>
          <w:rFonts w:hint="default" w:ascii="Times New Roman" w:hAnsi="Times New Roman" w:cs="Times New Roman"/>
          <w:b w:val="0"/>
          <w:bCs w:val="0"/>
          <w:lang w:val="en-US" w:eastAsia="zh-CN"/>
        </w:rPr>
      </w:pPr>
      <w:bookmarkStart w:id="3" w:name="OLE_LINK2"/>
      <w:r>
        <w:rPr>
          <w:rFonts w:hint="eastAsia" w:ascii="Times New Roman" w:hAnsi="Times New Roman" w:cs="Times New Roman"/>
          <w:b w:val="0"/>
          <w:bCs w:val="0"/>
          <w:lang w:val="en-US" w:eastAsia="zh-CN"/>
        </w:rPr>
        <w:t xml:space="preserve">Signalling overhead reduction </w:t>
      </w:r>
    </w:p>
    <w:p>
      <w:pPr>
        <w:numPr>
          <w:ilvl w:val="0"/>
          <w:numId w:val="5"/>
        </w:numPr>
        <w:bidi w:val="0"/>
        <w:rPr>
          <w:b/>
          <w:bCs/>
        </w:rPr>
      </w:pPr>
      <w:r>
        <w:rPr>
          <w:rFonts w:hint="eastAsia"/>
          <w:b/>
          <w:bCs/>
          <w:lang w:val="en-US" w:eastAsia="zh-CN"/>
        </w:rPr>
        <w:t xml:space="preserve">On </w:t>
      </w:r>
      <w:r>
        <w:rPr>
          <w:b/>
          <w:bCs/>
        </w:rPr>
        <w:t>Group based mobility</w:t>
      </w:r>
    </w:p>
    <w:p>
      <w:pPr>
        <w:rPr>
          <w:rFonts w:hint="default" w:cs="Times New Roman"/>
          <w:sz w:val="20"/>
          <w:szCs w:val="20"/>
          <w:lang w:val="en-US" w:eastAsia="zh-CN"/>
        </w:rPr>
      </w:pPr>
      <w:r>
        <w:rPr>
          <w:rFonts w:hint="eastAsia" w:cs="Times New Roman"/>
          <w:sz w:val="20"/>
          <w:szCs w:val="20"/>
          <w:lang w:val="en-US" w:eastAsia="zh-CN"/>
        </w:rPr>
        <w:t xml:space="preserve">RAN2 has agreed to investigate the benefits of group HO for signalling overhead reduction. The motivation to have group HO is that UE at certain area might have the need to handover to the same target cell due to movement of satellite, which is the reason R17 3GPP specified location-based and time-based triggered CHO where location threshold can be defined to trigger UE to perform CHO. </w:t>
      </w:r>
    </w:p>
    <w:p>
      <w:pPr>
        <w:rPr>
          <w:rFonts w:hint="default" w:ascii="Times New Roman" w:hAnsi="Times New Roman" w:cs="Times New Roman"/>
          <w:sz w:val="20"/>
          <w:szCs w:val="20"/>
          <w:lang w:val="en-US" w:eastAsia="zh-CN"/>
        </w:rPr>
      </w:pPr>
      <w:r>
        <w:rPr>
          <w:rFonts w:hint="default" w:ascii="Times New Roman" w:hAnsi="Times New Roman" w:cs="Times New Roman"/>
          <w:b/>
          <w:bCs/>
          <w:sz w:val="20"/>
          <w:szCs w:val="20"/>
        </w:rPr>
        <w:t xml:space="preserve">Observation </w:t>
      </w:r>
      <w:r>
        <w:rPr>
          <w:rFonts w:hint="eastAsia" w:cs="Times New Roman"/>
          <w:b/>
          <w:bCs/>
          <w:sz w:val="20"/>
          <w:szCs w:val="20"/>
          <w:lang w:val="en-US" w:eastAsia="zh-CN"/>
        </w:rPr>
        <w:t>1</w:t>
      </w:r>
      <w:r>
        <w:rPr>
          <w:rFonts w:hint="default" w:ascii="Times New Roman" w:hAnsi="Times New Roman" w:cs="Times New Roman"/>
          <w:b/>
          <w:bCs/>
          <w:sz w:val="20"/>
          <w:szCs w:val="20"/>
        </w:rPr>
        <w:t xml:space="preserve">: </w:t>
      </w:r>
      <w:r>
        <w:rPr>
          <w:rFonts w:hint="eastAsia" w:cs="Times New Roman"/>
          <w:b/>
          <w:bCs/>
          <w:sz w:val="20"/>
          <w:szCs w:val="20"/>
          <w:lang w:val="en-US" w:eastAsia="zh-CN"/>
        </w:rPr>
        <w:t>The motivation to have group HO is that UE at similar location might handover to the same target due to movement of satellite which can be achieved by proper configuration of location/time-based CHO, an already supported feature in R17.</w:t>
      </w:r>
      <w:r>
        <w:rPr>
          <w:rFonts w:hint="eastAsia" w:cs="Times New Roman"/>
          <w:sz w:val="20"/>
          <w:szCs w:val="20"/>
          <w:lang w:val="en-US" w:eastAsia="zh-CN"/>
        </w:rPr>
        <w:t xml:space="preserve"> </w:t>
      </w:r>
    </w:p>
    <w:p>
      <w:pPr>
        <w:rPr>
          <w:rFonts w:hint="eastAsia" w:ascii="Times New Roman" w:hAnsi="Times New Roman" w:cs="Times New Roman"/>
          <w:sz w:val="20"/>
          <w:szCs w:val="20"/>
          <w:lang w:val="en-US" w:eastAsia="zh-CN"/>
        </w:rPr>
      </w:pPr>
      <w:r>
        <w:rPr>
          <w:rFonts w:hint="eastAsia" w:cs="Times New Roman"/>
          <w:sz w:val="20"/>
          <w:szCs w:val="20"/>
          <w:lang w:val="en-US" w:eastAsia="zh-CN"/>
        </w:rPr>
        <w:t xml:space="preserve">Below are possible signalling options to support </w:t>
      </w:r>
      <w:r>
        <w:rPr>
          <w:rFonts w:hint="eastAsia" w:ascii="Times New Roman" w:hAnsi="Times New Roman" w:cs="Times New Roman"/>
          <w:sz w:val="20"/>
          <w:szCs w:val="20"/>
          <w:lang w:val="en-US" w:eastAsia="zh-CN"/>
        </w:rPr>
        <w:t>group HO:</w:t>
      </w:r>
    </w:p>
    <w:p>
      <w:pPr>
        <w:numPr>
          <w:ilvl w:val="0"/>
          <w:numId w:val="6"/>
        </w:numPr>
        <w:ind w:left="840" w:leftChars="0" w:hanging="420" w:firstLineChars="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Opt1: group-signalling</w:t>
      </w:r>
      <w:r>
        <w:rPr>
          <w:rFonts w:hint="eastAsia" w:cs="Times New Roman"/>
          <w:sz w:val="20"/>
          <w:szCs w:val="20"/>
          <w:lang w:val="en-US" w:eastAsia="zh-CN"/>
        </w:rPr>
        <w:t xml:space="preserve"> only</w:t>
      </w:r>
    </w:p>
    <w:p>
      <w:pPr>
        <w:numPr>
          <w:ilvl w:val="0"/>
          <w:numId w:val="6"/>
        </w:numPr>
        <w:ind w:left="84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Opt2: Dedicated signalling</w:t>
      </w:r>
      <w:r>
        <w:rPr>
          <w:rFonts w:hint="eastAsia" w:cs="Times New Roman"/>
          <w:sz w:val="20"/>
          <w:szCs w:val="20"/>
          <w:lang w:val="en-US" w:eastAsia="zh-CN"/>
        </w:rPr>
        <w:t xml:space="preserve"> only</w:t>
      </w:r>
    </w:p>
    <w:p>
      <w:pPr>
        <w:numPr>
          <w:ilvl w:val="0"/>
          <w:numId w:val="6"/>
        </w:numPr>
        <w:ind w:left="840" w:leftChars="0" w:hanging="420" w:firstLineChars="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Opt3: Group-signalling +dedicated signalling</w:t>
      </w:r>
    </w:p>
    <w:p>
      <w:p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w:t>
      </w:r>
      <w:r>
        <w:rPr>
          <w:rFonts w:hint="default" w:ascii="Times New Roman" w:hAnsi="Times New Roman" w:cs="Times New Roman"/>
          <w:sz w:val="20"/>
          <w:szCs w:val="20"/>
        </w:rPr>
        <w:t xml:space="preserve">t shall be noted that after HO to </w:t>
      </w:r>
      <w:r>
        <w:rPr>
          <w:rFonts w:hint="eastAsia" w:cs="Times New Roman"/>
          <w:sz w:val="20"/>
          <w:szCs w:val="20"/>
          <w:lang w:val="en-US" w:eastAsia="zh-CN"/>
        </w:rPr>
        <w:t>target</w:t>
      </w:r>
      <w:r>
        <w:rPr>
          <w:rFonts w:hint="default" w:ascii="Times New Roman" w:hAnsi="Times New Roman" w:cs="Times New Roman"/>
          <w:sz w:val="20"/>
          <w:szCs w:val="20"/>
        </w:rPr>
        <w:t xml:space="preserve"> cell</w:t>
      </w:r>
      <w:r>
        <w:rPr>
          <w:rFonts w:hint="eastAsia" w:cs="Times New Roman"/>
          <w:sz w:val="20"/>
          <w:szCs w:val="20"/>
          <w:lang w:val="en-US" w:eastAsia="zh-CN"/>
        </w:rPr>
        <w:t>,</w:t>
      </w:r>
      <w:r>
        <w:rPr>
          <w:rFonts w:hint="default" w:ascii="Times New Roman" w:hAnsi="Times New Roman" w:cs="Times New Roman"/>
          <w:sz w:val="20"/>
          <w:szCs w:val="20"/>
        </w:rPr>
        <w:t xml:space="preserve"> UE need</w:t>
      </w:r>
      <w:r>
        <w:rPr>
          <w:rFonts w:hint="eastAsia" w:cs="Times New Roman"/>
          <w:sz w:val="20"/>
          <w:szCs w:val="20"/>
          <w:lang w:val="en-US" w:eastAsia="zh-CN"/>
        </w:rPr>
        <w:t>s</w:t>
      </w:r>
      <w:r>
        <w:rPr>
          <w:rFonts w:hint="default" w:ascii="Times New Roman" w:hAnsi="Times New Roman" w:cs="Times New Roman"/>
          <w:sz w:val="20"/>
          <w:szCs w:val="20"/>
        </w:rPr>
        <w:t xml:space="preserve"> to initiate RACH to target cell to establish the connections. And a large of UE initiating RACH in the same time might lead to serious collision issues</w:t>
      </w:r>
      <w:r>
        <w:rPr>
          <w:rFonts w:hint="eastAsia" w:ascii="Times New Roman" w:hAnsi="Times New Roman" w:cs="Times New Roman"/>
          <w:sz w:val="20"/>
          <w:szCs w:val="20"/>
          <w:lang w:val="en-US" w:eastAsia="zh-CN"/>
        </w:rPr>
        <w:t xml:space="preserve"> which can be avoid when consider group HO configuration.</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 xml:space="preserve">For option 1 it cannot resolve the RACH contention issue and it has large specs impact since new signalling will needs to be introduced. For opt2, since the signalling is still dedicated there is no gain in overhead reduction. Option 3 is the most complicated which also requires new signalling design. </w:t>
      </w:r>
    </w:p>
    <w:p>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 xml:space="preserve">Observation </w:t>
      </w:r>
      <w:r>
        <w:rPr>
          <w:rFonts w:hint="eastAsia" w:cs="Times New Roman"/>
          <w:b/>
          <w:bCs/>
          <w:sz w:val="20"/>
          <w:szCs w:val="20"/>
          <w:lang w:val="en-US" w:eastAsia="zh-CN"/>
        </w:rPr>
        <w:t>2</w:t>
      </w:r>
      <w:r>
        <w:rPr>
          <w:rFonts w:hint="default" w:ascii="Times New Roman" w:hAnsi="Times New Roman" w:cs="Times New Roman"/>
          <w:b/>
          <w:bCs/>
          <w:sz w:val="20"/>
          <w:szCs w:val="20"/>
        </w:rPr>
        <w:t xml:space="preserve">: </w:t>
      </w:r>
      <w:r>
        <w:rPr>
          <w:rFonts w:hint="eastAsia" w:ascii="Times New Roman" w:hAnsi="Times New Roman" w:cs="Times New Roman"/>
          <w:b/>
          <w:bCs/>
          <w:sz w:val="20"/>
          <w:szCs w:val="20"/>
          <w:lang w:val="en-US" w:eastAsia="zh-CN"/>
        </w:rPr>
        <w:t>Options to support g</w:t>
      </w:r>
      <w:r>
        <w:rPr>
          <w:rFonts w:hint="default" w:ascii="Times New Roman" w:hAnsi="Times New Roman" w:cs="Times New Roman"/>
          <w:b/>
          <w:bCs/>
          <w:sz w:val="20"/>
          <w:szCs w:val="20"/>
        </w:rPr>
        <w:t>roup HO</w:t>
      </w:r>
      <w:r>
        <w:rPr>
          <w:rFonts w:hint="eastAsia" w:ascii="Times New Roman" w:hAnsi="Times New Roman" w:cs="Times New Roman"/>
          <w:b/>
          <w:bCs/>
          <w:sz w:val="20"/>
          <w:szCs w:val="20"/>
          <w:lang w:val="en-US" w:eastAsia="zh-CN"/>
        </w:rPr>
        <w:t xml:space="preserve"> either have little gain in reducing signalling overhead or has large specs impact</w:t>
      </w:r>
      <w:r>
        <w:rPr>
          <w:rFonts w:hint="eastAsia" w:cs="Times New Roman"/>
          <w:b/>
          <w:bCs/>
          <w:sz w:val="20"/>
          <w:szCs w:val="20"/>
          <w:lang w:val="en-US" w:eastAsia="zh-CN"/>
        </w:rPr>
        <w:t xml:space="preserve"> (e.g., new common signalling might be needed)</w:t>
      </w:r>
    </w:p>
    <w:p>
      <w:pPr>
        <w:rPr>
          <w:rFonts w:hint="default" w:cs="Times New Roman"/>
          <w:sz w:val="20"/>
          <w:szCs w:val="20"/>
          <w:lang w:val="en-US" w:eastAsia="zh-CN"/>
        </w:rPr>
      </w:pPr>
      <w:r>
        <w:rPr>
          <w:rFonts w:hint="eastAsia" w:cs="Times New Roman"/>
          <w:sz w:val="20"/>
          <w:szCs w:val="20"/>
          <w:lang w:val="en-US" w:eastAsia="zh-CN"/>
        </w:rPr>
        <w:t>As discussed above that by proper configuration of threshold, CHO can be used to handle the timing for UE to trigger HO to target. Bear this in-mind, RAN2 can further investigate methods to reduce the signalling overhead of CHO, which will have less specs impact comparing to define new group signalling to reduce signalling overhead. Therefore, below proposal is given:</w:t>
      </w:r>
    </w:p>
    <w:p>
      <w:pPr>
        <w:rPr>
          <w:rFonts w:hint="default" w:cs="Times New Roman"/>
          <w:b/>
          <w:bCs/>
          <w:sz w:val="20"/>
          <w:szCs w:val="20"/>
          <w:lang w:val="en-US" w:eastAsia="zh-CN"/>
        </w:rPr>
      </w:pPr>
      <w:r>
        <w:rPr>
          <w:rFonts w:hint="eastAsia" w:cs="Times New Roman"/>
          <w:b/>
          <w:bCs/>
          <w:sz w:val="20"/>
          <w:szCs w:val="20"/>
          <w:lang w:val="en-US" w:eastAsia="zh-CN"/>
        </w:rPr>
        <w:t>Proposal 1: For signalling overhead reduction, RAN2 deprioritize the discussion on group HO.</w:t>
      </w:r>
    </w:p>
    <w:p>
      <w:pPr>
        <w:rPr>
          <w:rFonts w:hint="eastAsia" w:cs="Times New Roman"/>
          <w:sz w:val="20"/>
          <w:szCs w:val="20"/>
          <w:lang w:val="en-US" w:eastAsia="zh-CN"/>
        </w:rPr>
      </w:pPr>
      <w:r>
        <w:rPr>
          <w:rFonts w:hint="eastAsia" w:cs="Times New Roman"/>
          <w:sz w:val="20"/>
          <w:szCs w:val="20"/>
          <w:lang w:val="en-US" w:eastAsia="zh-CN"/>
        </w:rPr>
        <w:t xml:space="preserve">In previous meeting, there are some discussion to use system information to broadcast common HO configuration (e.g., at least common cell configuration), which can saves the signalling to send multiple message to different UE with the same content. This is especially true for CHO as UE served by the same satellite or NTN will most likely have the same candidate cells (or at least share one or two candidate cell) and/or triggering conditions (e.g. location thresholds). </w:t>
      </w:r>
    </w:p>
    <w:p>
      <w:pPr>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Observation </w:t>
      </w:r>
      <w:r>
        <w:rPr>
          <w:rFonts w:hint="eastAsia" w:cs="Times New Roman"/>
          <w:b/>
          <w:bCs/>
          <w:sz w:val="20"/>
          <w:szCs w:val="20"/>
          <w:lang w:val="en-US" w:eastAsia="zh-CN"/>
        </w:rPr>
        <w:t>3</w:t>
      </w:r>
      <w:r>
        <w:rPr>
          <w:rFonts w:hint="eastAsia" w:ascii="Times New Roman" w:hAnsi="Times New Roman" w:cs="Times New Roman"/>
          <w:b/>
          <w:bCs/>
          <w:sz w:val="20"/>
          <w:szCs w:val="20"/>
          <w:lang w:val="en-US" w:eastAsia="zh-CN"/>
        </w:rPr>
        <w:t xml:space="preserve">: </w:t>
      </w:r>
      <w:r>
        <w:rPr>
          <w:rFonts w:hint="eastAsia" w:cs="Times New Roman"/>
          <w:b/>
          <w:bCs/>
          <w:sz w:val="20"/>
          <w:szCs w:val="20"/>
          <w:lang w:val="en-US" w:eastAsia="zh-CN"/>
        </w:rPr>
        <w:t>U</w:t>
      </w:r>
      <w:r>
        <w:rPr>
          <w:rFonts w:hint="eastAsia" w:ascii="Times New Roman" w:hAnsi="Times New Roman" w:cs="Times New Roman"/>
          <w:b/>
          <w:bCs/>
          <w:sz w:val="20"/>
          <w:szCs w:val="20"/>
          <w:lang w:val="en-US" w:eastAsia="zh-CN"/>
        </w:rPr>
        <w:t>s</w:t>
      </w:r>
      <w:r>
        <w:rPr>
          <w:rFonts w:hint="eastAsia" w:cs="Times New Roman"/>
          <w:b/>
          <w:bCs/>
          <w:sz w:val="20"/>
          <w:szCs w:val="20"/>
          <w:lang w:val="en-US" w:eastAsia="zh-CN"/>
        </w:rPr>
        <w:t>ing</w:t>
      </w:r>
      <w:r>
        <w:rPr>
          <w:rFonts w:hint="eastAsia" w:ascii="Times New Roman" w:hAnsi="Times New Roman" w:cs="Times New Roman"/>
          <w:b/>
          <w:bCs/>
          <w:sz w:val="20"/>
          <w:szCs w:val="20"/>
          <w:lang w:val="en-US" w:eastAsia="zh-CN"/>
        </w:rPr>
        <w:t xml:space="preserve"> system information to broadcast common </w:t>
      </w:r>
      <w:r>
        <w:rPr>
          <w:rFonts w:hint="eastAsia" w:cs="Times New Roman"/>
          <w:b/>
          <w:bCs/>
          <w:sz w:val="20"/>
          <w:szCs w:val="20"/>
          <w:lang w:val="en-US" w:eastAsia="zh-CN"/>
        </w:rPr>
        <w:t xml:space="preserve">HO </w:t>
      </w:r>
      <w:r>
        <w:rPr>
          <w:rFonts w:hint="eastAsia" w:ascii="Times New Roman" w:hAnsi="Times New Roman" w:cs="Times New Roman"/>
          <w:b/>
          <w:bCs/>
          <w:sz w:val="20"/>
          <w:szCs w:val="20"/>
          <w:lang w:val="en-US" w:eastAsia="zh-CN"/>
        </w:rPr>
        <w:t>configuration</w:t>
      </w:r>
      <w:r>
        <w:rPr>
          <w:rFonts w:hint="eastAsia" w:cs="Times New Roman"/>
          <w:b/>
          <w:bCs/>
          <w:sz w:val="20"/>
          <w:szCs w:val="20"/>
          <w:lang w:val="en-US" w:eastAsia="zh-CN"/>
        </w:rPr>
        <w:t xml:space="preserve"> (e.g. common cell specific parameters) is helpful</w:t>
      </w:r>
      <w:r>
        <w:rPr>
          <w:rFonts w:hint="eastAsia" w:ascii="Times New Roman" w:hAnsi="Times New Roman" w:cs="Times New Roman"/>
          <w:b/>
          <w:bCs/>
          <w:sz w:val="20"/>
          <w:szCs w:val="20"/>
          <w:lang w:val="en-US" w:eastAsia="zh-CN"/>
        </w:rPr>
        <w:t xml:space="preserve"> </w:t>
      </w:r>
      <w:r>
        <w:rPr>
          <w:rFonts w:hint="eastAsia" w:cs="Times New Roman"/>
          <w:b/>
          <w:bCs/>
          <w:sz w:val="20"/>
          <w:szCs w:val="20"/>
          <w:lang w:val="en-US" w:eastAsia="zh-CN"/>
        </w:rPr>
        <w:t>for</w:t>
      </w:r>
      <w:r>
        <w:rPr>
          <w:rFonts w:hint="eastAsia" w:ascii="Times New Roman" w:hAnsi="Times New Roman" w:cs="Times New Roman"/>
          <w:b/>
          <w:bCs/>
          <w:sz w:val="20"/>
          <w:szCs w:val="20"/>
          <w:lang w:val="en-US" w:eastAsia="zh-CN"/>
        </w:rPr>
        <w:t xml:space="preserve"> signalling overhead</w:t>
      </w:r>
      <w:r>
        <w:rPr>
          <w:rFonts w:hint="eastAsia" w:cs="Times New Roman"/>
          <w:b/>
          <w:bCs/>
          <w:sz w:val="20"/>
          <w:szCs w:val="20"/>
          <w:lang w:val="en-US" w:eastAsia="zh-CN"/>
        </w:rPr>
        <w:t xml:space="preserve"> reduction</w:t>
      </w:r>
      <w:r>
        <w:rPr>
          <w:rFonts w:hint="eastAsia" w:ascii="Times New Roman" w:hAnsi="Times New Roman" w:cs="Times New Roman"/>
          <w:b/>
          <w:bCs/>
          <w:sz w:val="20"/>
          <w:szCs w:val="20"/>
          <w:lang w:val="en-US" w:eastAsia="zh-CN"/>
        </w:rPr>
        <w:t xml:space="preserve"> </w:t>
      </w:r>
    </w:p>
    <w:p>
      <w:pPr>
        <w:rPr>
          <w:rFonts w:hint="default" w:cs="Times New Roman"/>
          <w:sz w:val="20"/>
          <w:szCs w:val="20"/>
          <w:lang w:val="en-US" w:eastAsia="zh-CN"/>
        </w:rPr>
      </w:pPr>
      <w:r>
        <w:rPr>
          <w:rFonts w:hint="eastAsia" w:cs="Times New Roman"/>
          <w:sz w:val="20"/>
          <w:szCs w:val="20"/>
          <w:lang w:val="en-US" w:eastAsia="zh-CN"/>
        </w:rPr>
        <w:t>Even when system information is used, dedicated signalling should still be allowed for NW to adjust/modify the (C)HO configuration in system information to meet UE</w:t>
      </w:r>
      <w:r>
        <w:rPr>
          <w:rFonts w:hint="default" w:cs="Times New Roman"/>
          <w:sz w:val="20"/>
          <w:szCs w:val="20"/>
          <w:lang w:val="en-US" w:eastAsia="zh-CN"/>
        </w:rPr>
        <w:t>’</w:t>
      </w:r>
      <w:r>
        <w:rPr>
          <w:rFonts w:hint="eastAsia" w:cs="Times New Roman"/>
          <w:sz w:val="20"/>
          <w:szCs w:val="20"/>
          <w:lang w:val="en-US" w:eastAsia="zh-CN"/>
        </w:rPr>
        <w:t xml:space="preserve">s specific needs. For example, some UE -specifc information (e.g. C-RNTI, contention free resource ) might need to be configured for the (C)HO procedure. </w:t>
      </w:r>
    </w:p>
    <w:p>
      <w:pPr>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Observation </w:t>
      </w:r>
      <w:r>
        <w:rPr>
          <w:rFonts w:hint="eastAsia" w:cs="Times New Roman"/>
          <w:b/>
          <w:bCs/>
          <w:sz w:val="20"/>
          <w:szCs w:val="20"/>
          <w:lang w:val="en-US" w:eastAsia="zh-CN"/>
        </w:rPr>
        <w:t>4</w:t>
      </w:r>
      <w:r>
        <w:rPr>
          <w:rFonts w:hint="eastAsia" w:ascii="Times New Roman" w:hAnsi="Times New Roman" w:cs="Times New Roman"/>
          <w:b/>
          <w:bCs/>
          <w:sz w:val="20"/>
          <w:szCs w:val="20"/>
          <w:lang w:val="en-US" w:eastAsia="zh-CN"/>
        </w:rPr>
        <w:t xml:space="preserve">: Dedicated signalling is helpful for provide or update </w:t>
      </w:r>
      <w:r>
        <w:rPr>
          <w:rFonts w:hint="eastAsia" w:cs="Times New Roman"/>
          <w:b/>
          <w:bCs/>
          <w:sz w:val="20"/>
          <w:szCs w:val="20"/>
          <w:lang w:val="en-US" w:eastAsia="zh-CN"/>
        </w:rPr>
        <w:t>HO</w:t>
      </w:r>
      <w:r>
        <w:rPr>
          <w:rFonts w:hint="eastAsia" w:ascii="Times New Roman" w:hAnsi="Times New Roman" w:cs="Times New Roman"/>
          <w:b/>
          <w:bCs/>
          <w:sz w:val="20"/>
          <w:szCs w:val="20"/>
          <w:lang w:val="en-US" w:eastAsia="zh-CN"/>
        </w:rPr>
        <w:t xml:space="preserve"> configuration to provide UE specific configuration (e.g., contention free resource).</w:t>
      </w:r>
    </w:p>
    <w:p>
      <w:pPr>
        <w:rPr>
          <w:rFonts w:hint="eastAsia" w:cs="Times New Roman"/>
          <w:sz w:val="20"/>
          <w:szCs w:val="20"/>
          <w:lang w:val="en-US" w:eastAsia="zh-CN"/>
        </w:rPr>
      </w:pPr>
      <w:r>
        <w:rPr>
          <w:rFonts w:hint="eastAsia" w:cs="Times New Roman"/>
          <w:sz w:val="20"/>
          <w:szCs w:val="20"/>
          <w:lang w:val="en-US" w:eastAsia="zh-CN"/>
        </w:rPr>
        <w:t>Based on above, it is proposed to use system information to broadcast H0O configuration for reducing signalling overhead. In addition, dedicated RRC signalling can be used to update/modify or release the configuration.</w:t>
      </w:r>
    </w:p>
    <w:p>
      <w:pPr>
        <w:rPr>
          <w:rFonts w:hint="eastAsia" w:cs="Times New Roman"/>
          <w:b/>
          <w:bCs/>
          <w:sz w:val="20"/>
          <w:szCs w:val="20"/>
          <w:lang w:val="en-US" w:eastAsia="zh-CN"/>
        </w:rPr>
      </w:pPr>
      <w:r>
        <w:rPr>
          <w:rFonts w:hint="eastAsia" w:cs="Times New Roman"/>
          <w:b/>
          <w:bCs/>
          <w:sz w:val="20"/>
          <w:szCs w:val="20"/>
          <w:lang w:val="en-US" w:eastAsia="zh-CN"/>
        </w:rPr>
        <w:t>Proposal 2: System information can be used to broadcast (C)HO configuration.</w:t>
      </w:r>
    </w:p>
    <w:p>
      <w:pPr>
        <w:rPr>
          <w:rFonts w:hint="default" w:cs="Times New Roman"/>
          <w:sz w:val="20"/>
          <w:szCs w:val="20"/>
          <w:lang w:val="en-US" w:eastAsia="zh-CN"/>
        </w:rPr>
      </w:pPr>
      <w:r>
        <w:rPr>
          <w:rFonts w:hint="eastAsia" w:cs="Times New Roman"/>
          <w:b/>
          <w:bCs/>
          <w:sz w:val="20"/>
          <w:szCs w:val="20"/>
          <w:lang w:val="en-US" w:eastAsia="zh-CN"/>
        </w:rPr>
        <w:t>Proposal 3: Dedicated RRC signalling can be used to modify or release the (C)HO configuration provided in system information.</w:t>
      </w:r>
    </w:p>
    <w:p>
      <w:pPr>
        <w:numPr>
          <w:ilvl w:val="0"/>
          <w:numId w:val="5"/>
        </w:numPr>
        <w:bidi w:val="0"/>
        <w:rPr>
          <w:rFonts w:hint="default"/>
          <w:b/>
          <w:bCs/>
        </w:rPr>
      </w:pPr>
      <w:r>
        <w:rPr>
          <w:rFonts w:hint="default"/>
          <w:b/>
          <w:bCs/>
        </w:rPr>
        <w:t>Index based handover command</w:t>
      </w:r>
    </w:p>
    <w:p>
      <w:pPr>
        <w:rPr>
          <w:rFonts w:hint="default" w:ascii="Times New Roman" w:hAnsi="Times New Roman" w:cs="Times New Roman"/>
          <w:sz w:val="20"/>
          <w:szCs w:val="20"/>
        </w:rPr>
      </w:pPr>
      <w:r>
        <w:rPr>
          <w:rFonts w:hint="default" w:ascii="Times New Roman" w:hAnsi="Times New Roman" w:cs="Times New Roman"/>
        </w:rPr>
        <w:t xml:space="preserve">Another mobility enhancement </w:t>
      </w:r>
      <w:r>
        <w:rPr>
          <w:rFonts w:hint="eastAsia" w:cs="Times New Roman"/>
          <w:lang w:val="en-US" w:eastAsia="zh-CN"/>
        </w:rPr>
        <w:t xml:space="preserve">discussed is </w:t>
      </w:r>
      <w:r>
        <w:rPr>
          <w:rFonts w:hint="default" w:ascii="Times New Roman" w:hAnsi="Times New Roman" w:cs="Times New Roman"/>
        </w:rPr>
        <w:t>to allow pre-configuration of HO resource and NW can trigger HO though simple indication without configuring the resource again</w:t>
      </w:r>
      <w:r>
        <w:rPr>
          <w:rFonts w:hint="eastAsia" w:cs="Times New Roman"/>
          <w:lang w:val="en-US" w:eastAsia="zh-CN"/>
        </w:rPr>
        <w:t>, therefore reduce the overhead to duplicate the signalling. It can be</w:t>
      </w:r>
      <w:r>
        <w:rPr>
          <w:rFonts w:hint="default" w:ascii="Times New Roman" w:hAnsi="Times New Roman" w:cs="Times New Roman"/>
        </w:rPr>
        <w:t xml:space="preserve"> </w:t>
      </w:r>
      <w:r>
        <w:rPr>
          <w:rFonts w:hint="eastAsia" w:cs="Times New Roman"/>
          <w:lang w:val="en-US" w:eastAsia="zh-CN"/>
        </w:rPr>
        <w:t>done</w:t>
      </w:r>
      <w:r>
        <w:rPr>
          <w:rFonts w:hint="default" w:ascii="Times New Roman" w:hAnsi="Times New Roman" w:cs="Times New Roman"/>
        </w:rPr>
        <w:t xml:space="preserve"> with simple enhancement on C</w:t>
      </w:r>
      <w:r>
        <w:rPr>
          <w:rFonts w:hint="default" w:ascii="Times New Roman" w:hAnsi="Times New Roman" w:cs="Times New Roman"/>
          <w:sz w:val="20"/>
          <w:szCs w:val="20"/>
        </w:rPr>
        <w:t xml:space="preserve">HO configuration that has been already supported in NTN. In NTN it is possible for NW to handover UE to CHO candidate cells before CHO is triggered, e.g., due to </w:t>
      </w:r>
      <w:r>
        <w:rPr>
          <w:rFonts w:hint="eastAsia" w:cs="Times New Roman"/>
          <w:sz w:val="20"/>
          <w:szCs w:val="20"/>
          <w:lang w:val="en-US" w:eastAsia="zh-CN"/>
        </w:rPr>
        <w:t xml:space="preserve">sudden change of satellite orbits or for </w:t>
      </w:r>
      <w:r>
        <w:rPr>
          <w:rFonts w:hint="default" w:ascii="Times New Roman" w:hAnsi="Times New Roman" w:cs="Times New Roman"/>
          <w:sz w:val="20"/>
          <w:szCs w:val="20"/>
        </w:rPr>
        <w:t xml:space="preserve">load balancing purpose. In this case, if NW can trigger HO in CHO candidates with simple indication (e.g., PCI or candidate cell index) in handover command </w:t>
      </w:r>
      <w:r>
        <w:rPr>
          <w:rFonts w:hint="eastAsia" w:cs="Times New Roman"/>
          <w:sz w:val="20"/>
          <w:szCs w:val="20"/>
          <w:lang w:val="en-US" w:eastAsia="zh-CN"/>
        </w:rPr>
        <w:t xml:space="preserve">while the </w:t>
      </w:r>
      <w:r>
        <w:rPr>
          <w:rFonts w:hint="default" w:ascii="Times New Roman" w:hAnsi="Times New Roman" w:cs="Times New Roman"/>
          <w:sz w:val="20"/>
          <w:szCs w:val="20"/>
        </w:rPr>
        <w:t xml:space="preserve">other parameters ( e.g. the cell specific parameters and the UE specific parameters) </w:t>
      </w:r>
      <w:r>
        <w:rPr>
          <w:rFonts w:hint="eastAsia" w:cs="Times New Roman"/>
          <w:sz w:val="20"/>
          <w:szCs w:val="20"/>
          <w:lang w:val="en-US" w:eastAsia="zh-CN"/>
        </w:rPr>
        <w:t>are</w:t>
      </w:r>
      <w:r>
        <w:rPr>
          <w:rFonts w:hint="default" w:ascii="Times New Roman" w:hAnsi="Times New Roman" w:cs="Times New Roman"/>
          <w:sz w:val="20"/>
          <w:szCs w:val="20"/>
        </w:rPr>
        <w:t xml:space="preserve"> omitted, th</w:t>
      </w:r>
      <w:r>
        <w:rPr>
          <w:rFonts w:hint="eastAsia" w:cs="Times New Roman"/>
          <w:sz w:val="20"/>
          <w:szCs w:val="20"/>
          <w:lang w:val="en-US" w:eastAsia="zh-CN"/>
        </w:rPr>
        <w:t>en the</w:t>
      </w:r>
      <w:r>
        <w:rPr>
          <w:rFonts w:hint="default" w:ascii="Times New Roman" w:hAnsi="Times New Roman" w:cs="Times New Roman"/>
          <w:sz w:val="20"/>
          <w:szCs w:val="20"/>
        </w:rPr>
        <w:t xml:space="preserve"> signaling overhead </w:t>
      </w:r>
      <w:r>
        <w:rPr>
          <w:rFonts w:hint="eastAsia" w:cs="Times New Roman"/>
          <w:sz w:val="20"/>
          <w:szCs w:val="20"/>
          <w:lang w:val="en-US" w:eastAsia="zh-CN"/>
        </w:rPr>
        <w:t xml:space="preserve">can be reduced </w:t>
      </w:r>
      <w:r>
        <w:rPr>
          <w:rFonts w:hint="default" w:ascii="Times New Roman" w:hAnsi="Times New Roman" w:cs="Times New Roman"/>
          <w:sz w:val="20"/>
          <w:szCs w:val="20"/>
        </w:rPr>
        <w:t xml:space="preserve">significantly. </w:t>
      </w:r>
    </w:p>
    <w:p>
      <w:pPr>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Observation </w:t>
      </w:r>
      <w:r>
        <w:rPr>
          <w:rFonts w:hint="eastAsia" w:cs="Times New Roman"/>
          <w:b/>
          <w:bCs/>
          <w:sz w:val="20"/>
          <w:szCs w:val="20"/>
          <w:lang w:val="en-US" w:eastAsia="zh-CN"/>
        </w:rPr>
        <w:t>5</w:t>
      </w:r>
      <w:r>
        <w:rPr>
          <w:rFonts w:hint="default" w:ascii="Times New Roman" w:hAnsi="Times New Roman" w:cs="Times New Roman"/>
          <w:b/>
          <w:bCs/>
          <w:sz w:val="20"/>
          <w:szCs w:val="20"/>
        </w:rPr>
        <w:t xml:space="preserve">: NW might handover UE to CHO candidate cells before CHO is triggered due to </w:t>
      </w:r>
      <w:r>
        <w:rPr>
          <w:rFonts w:hint="eastAsia" w:cs="Times New Roman"/>
          <w:b/>
          <w:bCs/>
          <w:sz w:val="20"/>
          <w:szCs w:val="20"/>
          <w:lang w:val="en-US" w:eastAsia="zh-CN"/>
        </w:rPr>
        <w:t xml:space="preserve">sudden change of orbits or </w:t>
      </w:r>
      <w:r>
        <w:rPr>
          <w:rFonts w:hint="default" w:ascii="Times New Roman" w:hAnsi="Times New Roman" w:cs="Times New Roman"/>
          <w:b/>
          <w:bCs/>
          <w:sz w:val="20"/>
          <w:szCs w:val="20"/>
        </w:rPr>
        <w:t>other purpose, e.g., load balancing.</w:t>
      </w:r>
    </w:p>
    <w:p>
      <w:pPr>
        <w:rPr>
          <w:rFonts w:hint="default" w:ascii="Times New Roman" w:hAnsi="Times New Roman" w:cs="Times New Roman"/>
          <w:sz w:val="20"/>
          <w:szCs w:val="20"/>
        </w:rPr>
      </w:pPr>
      <w:r>
        <w:rPr>
          <w:rFonts w:hint="default" w:ascii="Times New Roman" w:hAnsi="Times New Roman" w:cs="Times New Roman"/>
          <w:b/>
          <w:bCs/>
          <w:sz w:val="20"/>
          <w:szCs w:val="20"/>
        </w:rPr>
        <w:t xml:space="preserve">Observation </w:t>
      </w:r>
      <w:r>
        <w:rPr>
          <w:rFonts w:hint="eastAsia" w:cs="Times New Roman"/>
          <w:b/>
          <w:bCs/>
          <w:sz w:val="20"/>
          <w:szCs w:val="20"/>
          <w:lang w:val="en-US" w:eastAsia="zh-CN"/>
        </w:rPr>
        <w:t>6</w:t>
      </w:r>
      <w:r>
        <w:rPr>
          <w:rFonts w:hint="default" w:ascii="Times New Roman" w:hAnsi="Times New Roman" w:cs="Times New Roman"/>
          <w:b/>
          <w:bCs/>
          <w:sz w:val="20"/>
          <w:szCs w:val="20"/>
        </w:rPr>
        <w:t>: When handover UE to one of CHO candidate target cells, the CHO configuration stored in UE can be easily reused therefore only information used to identify CHO candidate cell (e.g., PCI or candidate cell index) is needed, which can help reduce signalling overhead of HO command significantly.</w:t>
      </w:r>
    </w:p>
    <w:p>
      <w:pPr>
        <w:rPr>
          <w:rFonts w:hint="default" w:ascii="Times New Roman" w:hAnsi="Times New Roman" w:cs="Times New Roman"/>
          <w:sz w:val="20"/>
          <w:szCs w:val="20"/>
        </w:rPr>
      </w:pPr>
      <w:r>
        <w:rPr>
          <w:rFonts w:hint="default" w:ascii="Times New Roman" w:hAnsi="Times New Roman" w:cs="Times New Roman"/>
          <w:sz w:val="20"/>
          <w:szCs w:val="20"/>
        </w:rPr>
        <w:t xml:space="preserve">With the reduction of the payload size, the reception failure of the handover command can be reduced, which would in return reduce the RLF rate and handover failure rate. </w:t>
      </w:r>
    </w:p>
    <w:p>
      <w:pPr>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Observation </w:t>
      </w:r>
      <w:r>
        <w:rPr>
          <w:rFonts w:hint="eastAsia" w:cs="Times New Roman"/>
          <w:b/>
          <w:bCs/>
          <w:sz w:val="20"/>
          <w:szCs w:val="20"/>
          <w:lang w:val="en-US" w:eastAsia="zh-CN"/>
        </w:rPr>
        <w:t>7</w:t>
      </w:r>
      <w:r>
        <w:rPr>
          <w:rFonts w:hint="default" w:ascii="Times New Roman" w:hAnsi="Times New Roman" w:cs="Times New Roman"/>
          <w:b/>
          <w:bCs/>
          <w:sz w:val="20"/>
          <w:szCs w:val="20"/>
        </w:rPr>
        <w:t>: Reduced HO command size also helps improv</w:t>
      </w:r>
      <w:r>
        <w:rPr>
          <w:rFonts w:hint="default" w:ascii="Times New Roman" w:hAnsi="Times New Roman" w:cs="Times New Roman"/>
          <w:b/>
          <w:bCs/>
          <w:sz w:val="20"/>
          <w:szCs w:val="20"/>
          <w:lang w:val="en-US" w:eastAsia="zh-CN"/>
        </w:rPr>
        <w:t>ing</w:t>
      </w:r>
      <w:r>
        <w:rPr>
          <w:rFonts w:hint="default" w:ascii="Times New Roman" w:hAnsi="Times New Roman" w:cs="Times New Roman"/>
          <w:b/>
          <w:bCs/>
          <w:sz w:val="20"/>
          <w:szCs w:val="20"/>
        </w:rPr>
        <w:t xml:space="preserve"> the successful rate of reception of RRCReconfigurtaion message therefore improve</w:t>
      </w:r>
      <w:r>
        <w:rPr>
          <w:rFonts w:hint="default" w:ascii="Times New Roman" w:hAnsi="Times New Roman" w:cs="Times New Roman"/>
          <w:b/>
          <w:bCs/>
          <w:sz w:val="20"/>
          <w:szCs w:val="20"/>
          <w:lang w:val="en-US" w:eastAsia="zh-CN"/>
        </w:rPr>
        <w:t>s</w:t>
      </w:r>
      <w:r>
        <w:rPr>
          <w:rFonts w:hint="default" w:ascii="Times New Roman" w:hAnsi="Times New Roman" w:cs="Times New Roman"/>
          <w:b/>
          <w:bCs/>
          <w:sz w:val="20"/>
          <w:szCs w:val="20"/>
        </w:rPr>
        <w:t xml:space="preserve"> overall HO performance.</w:t>
      </w:r>
    </w:p>
    <w:p>
      <w:pPr>
        <w:rPr>
          <w:rFonts w:hint="default" w:ascii="Times New Roman" w:hAnsi="Times New Roman" w:cs="Times New Roman"/>
          <w:sz w:val="20"/>
          <w:szCs w:val="20"/>
        </w:rPr>
      </w:pPr>
      <w:r>
        <w:rPr>
          <w:rFonts w:hint="default" w:ascii="Times New Roman" w:hAnsi="Times New Roman" w:cs="Times New Roman"/>
          <w:sz w:val="20"/>
          <w:szCs w:val="20"/>
        </w:rPr>
        <w:t xml:space="preserve">Thus, we understand if the network wants to trigger a conventional handover to one of the configured CHO candidate cells, one target cell indication (e.g. candidate cell identity or index) can be included in the conventional HO command and UE should apply the corresponding </w:t>
      </w:r>
      <w:r>
        <w:rPr>
          <w:rFonts w:hint="default" w:ascii="Times New Roman" w:hAnsi="Times New Roman" w:cs="Times New Roman"/>
          <w:i/>
          <w:iCs/>
          <w:sz w:val="20"/>
          <w:szCs w:val="20"/>
        </w:rPr>
        <w:t>condRRCReconfig</w:t>
      </w:r>
      <w:r>
        <w:rPr>
          <w:rFonts w:hint="default" w:ascii="Times New Roman" w:hAnsi="Times New Roman" w:cs="Times New Roman"/>
          <w:sz w:val="20"/>
          <w:szCs w:val="20"/>
        </w:rPr>
        <w:t>.</w:t>
      </w:r>
    </w:p>
    <w:p>
      <w:pPr>
        <w:jc w:val="left"/>
        <w:rPr>
          <w:rFonts w:hint="default" w:ascii="Times New Roman" w:hAnsi="Times New Roman" w:cs="Times New Roman"/>
          <w:b/>
          <w:sz w:val="20"/>
          <w:szCs w:val="20"/>
        </w:rPr>
      </w:pPr>
      <w:r>
        <w:rPr>
          <w:rFonts w:hint="default" w:ascii="Times New Roman" w:hAnsi="Times New Roman" w:cs="Times New Roman"/>
          <w:b/>
          <w:sz w:val="20"/>
          <w:szCs w:val="20"/>
        </w:rPr>
        <w:t xml:space="preserve">Proposal </w:t>
      </w:r>
      <w:r>
        <w:rPr>
          <w:rFonts w:hint="eastAsia" w:cs="Times New Roman"/>
          <w:b/>
          <w:sz w:val="20"/>
          <w:szCs w:val="20"/>
          <w:lang w:val="en-US" w:eastAsia="zh-CN"/>
        </w:rPr>
        <w:t>4</w:t>
      </w:r>
      <w:r>
        <w:rPr>
          <w:rFonts w:hint="default" w:ascii="Times New Roman" w:hAnsi="Times New Roman" w:cs="Times New Roman"/>
          <w:b/>
          <w:sz w:val="20"/>
          <w:szCs w:val="20"/>
        </w:rPr>
        <w:t xml:space="preserve">: The CHO candidate target cell identity or index can be included in the HO command to trigger conventional handover to this cell thus the detailed configuration would be omitted and UE should apply the </w:t>
      </w:r>
      <w:r>
        <w:rPr>
          <w:rFonts w:hint="default" w:ascii="Times New Roman" w:hAnsi="Times New Roman" w:cs="Times New Roman"/>
          <w:b/>
          <w:i/>
          <w:sz w:val="20"/>
          <w:szCs w:val="20"/>
        </w:rPr>
        <w:t>condRRCReconfig</w:t>
      </w:r>
      <w:r>
        <w:rPr>
          <w:rFonts w:hint="default" w:ascii="Times New Roman" w:hAnsi="Times New Roman" w:cs="Times New Roman"/>
          <w:b/>
          <w:sz w:val="20"/>
          <w:szCs w:val="20"/>
        </w:rPr>
        <w:t xml:space="preserve"> stored for this cell.</w:t>
      </w:r>
    </w:p>
    <w:p>
      <w:pPr>
        <w:pStyle w:val="3"/>
        <w:numPr>
          <w:ilvl w:val="1"/>
          <w:numId w:val="3"/>
        </w:numPr>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PCI unchanged solution</w:t>
      </w:r>
    </w:p>
    <w:p>
      <w:pPr>
        <w:rPr>
          <w:rFonts w:hint="eastAsia"/>
          <w:lang w:val="en-US" w:eastAsia="zh-CN"/>
        </w:rPr>
      </w:pPr>
      <w:r>
        <w:rPr>
          <w:rFonts w:hint="eastAsia"/>
          <w:lang w:val="en-US" w:eastAsia="zh-CN"/>
        </w:rPr>
        <w:t>PCI unchanged is a solution proposed to address the feeder-link switch case when two satellite are connected to the same gNB as shown below:</w:t>
      </w:r>
    </w:p>
    <w:p>
      <w:pPr>
        <w:jc w:val="center"/>
        <w:rPr>
          <w:rFonts w:hint="default"/>
          <w:lang w:val="en-US" w:eastAsia="zh-CN"/>
        </w:rPr>
      </w:pPr>
      <w:r>
        <w:rPr>
          <w:lang w:val="en-US" w:eastAsia="zh-CN"/>
        </w:rPr>
        <w:drawing>
          <wp:inline distT="0" distB="0" distL="0" distR="0">
            <wp:extent cx="4325620" cy="2631440"/>
            <wp:effectExtent l="0" t="0" r="0" b="0"/>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348424" cy="2645287"/>
                    </a:xfrm>
                    <a:prstGeom prst="rect">
                      <a:avLst/>
                    </a:prstGeom>
                    <a:noFill/>
                  </pic:spPr>
                </pic:pic>
              </a:graphicData>
            </a:graphic>
          </wp:inline>
        </w:drawing>
      </w:r>
    </w:p>
    <w:p>
      <w:pPr>
        <w:rPr>
          <w:rFonts w:hint="eastAsia"/>
          <w:lang w:val="en-US" w:eastAsia="zh-CN"/>
        </w:rPr>
      </w:pPr>
      <w:r>
        <w:rPr>
          <w:rFonts w:hint="eastAsia"/>
          <w:lang w:val="en-US" w:eastAsia="zh-CN"/>
        </w:rPr>
        <w:t>It assumes that PCI can be used for the same coverage regardless the feederlink switch which saves UE from trigger HO procedure provided it doesn</w:t>
      </w:r>
      <w:r>
        <w:rPr>
          <w:rFonts w:hint="default"/>
          <w:lang w:val="en-US" w:eastAsia="zh-CN"/>
        </w:rPr>
        <w:t>’</w:t>
      </w:r>
      <w:r>
        <w:rPr>
          <w:rFonts w:hint="eastAsia"/>
          <w:lang w:val="en-US" w:eastAsia="zh-CN"/>
        </w:rPr>
        <w:t>t involve L3 mobility. However, UE still needs to perform UL synchronization due to change of UE-gNB RTT. Also whether PCI 1 can be reused still requires RAN1 confirmation, e.g., whether it is possible that beams from different satellite covering the same area can be have the same PCI without causing confusion, does UE sees them as the same beam or different beam? However since RAN1 is not included as the group for mobility enhancements, this use case shall be considered as low priority or not pursued.</w:t>
      </w:r>
    </w:p>
    <w:p>
      <w:pPr>
        <w:rPr>
          <w:rFonts w:hint="default"/>
          <w:lang w:val="en-US" w:eastAsia="zh-CN"/>
        </w:rPr>
      </w:pPr>
      <w:r>
        <w:rPr>
          <w:rFonts w:hint="eastAsia"/>
          <w:b/>
          <w:bCs/>
          <w:lang w:val="en-US" w:eastAsia="zh-CN"/>
        </w:rPr>
        <w:t xml:space="preserve">Observation 8: PCI unchanged solution only applies to limited scenarios with questionable feasibility, which requires RAN1 study and confirmation. However RAN1 is not involved for mobility enhancements study in R18. </w:t>
      </w:r>
      <w:r>
        <w:rPr>
          <w:rFonts w:hint="eastAsia"/>
          <w:lang w:val="en-US" w:eastAsia="zh-CN"/>
        </w:rPr>
        <w:t xml:space="preserve"> </w:t>
      </w:r>
    </w:p>
    <w:p>
      <w:pPr>
        <w:rPr>
          <w:rFonts w:hint="eastAsia"/>
          <w:b/>
          <w:bCs/>
          <w:highlight w:val="none"/>
          <w:lang w:val="en-US" w:eastAsia="zh-CN"/>
        </w:rPr>
      </w:pPr>
      <w:r>
        <w:rPr>
          <w:rFonts w:hint="eastAsia"/>
          <w:b/>
          <w:bCs/>
          <w:highlight w:val="none"/>
          <w:lang w:val="en-US" w:eastAsia="zh-CN"/>
        </w:rPr>
        <w:t>Proposal 5: PCI unchanged is not pursued in R18</w:t>
      </w:r>
    </w:p>
    <w:p>
      <w:pPr>
        <w:pStyle w:val="3"/>
        <w:numPr>
          <w:ilvl w:val="1"/>
          <w:numId w:val="3"/>
        </w:numPr>
        <w:rPr>
          <w:rFonts w:hint="eastAsia"/>
          <w:b w:val="0"/>
          <w:bCs w:val="0"/>
          <w:lang w:val="en-US" w:eastAsia="zh-CN"/>
        </w:rPr>
      </w:pPr>
      <w:r>
        <w:rPr>
          <w:rFonts w:hint="eastAsia"/>
          <w:b w:val="0"/>
          <w:bCs w:val="0"/>
          <w:lang w:val="en-US" w:eastAsia="zh-CN"/>
        </w:rPr>
        <w:t xml:space="preserve">LS on RACH-less HO </w:t>
      </w:r>
    </w:p>
    <w:p>
      <w:pPr>
        <w:tabs>
          <w:tab w:val="right" w:pos="10649"/>
        </w:tabs>
        <w:spacing w:before="44" w:beforeLines="0" w:afterLines="0"/>
        <w:jc w:val="left"/>
        <w:rPr>
          <w:rFonts w:hint="eastAsia"/>
          <w:lang w:val="en-US" w:eastAsia="zh-CN"/>
        </w:rPr>
      </w:pPr>
      <w:r>
        <w:rPr>
          <w:rFonts w:hint="eastAsia"/>
          <w:b w:val="0"/>
          <w:bCs w:val="0"/>
          <w:sz w:val="24"/>
          <w:szCs w:val="24"/>
          <w:lang w:val="en-US" w:eastAsia="zh-CN"/>
        </w:rPr>
        <w:t>------------------------------------------------</w:t>
      </w:r>
      <w:r>
        <w:rPr>
          <w:rFonts w:hint="eastAsia"/>
          <w:b w:val="0"/>
          <w:bCs w:val="0"/>
          <w:sz w:val="20"/>
          <w:szCs w:val="20"/>
          <w:lang w:val="en-US" w:eastAsia="zh-CN"/>
        </w:rPr>
        <w:t xml:space="preserve"> LS </w:t>
      </w:r>
      <w:r>
        <w:rPr>
          <w:rFonts w:hint="eastAsia"/>
          <w:lang w:val="en-US" w:eastAsia="zh-CN"/>
        </w:rPr>
        <w:t xml:space="preserve">R1-2212997 </w:t>
      </w:r>
      <w:r>
        <w:rPr>
          <w:rFonts w:hint="eastAsia"/>
          <w:b w:val="0"/>
          <w:bCs w:val="0"/>
          <w:sz w:val="24"/>
          <w:szCs w:val="24"/>
          <w:lang w:val="en-US" w:eastAsia="zh-CN"/>
        </w:rPr>
        <w: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suppressLineNumbers w:val="0"/>
              <w:spacing w:before="0" w:beforeAutospacing="0" w:after="0" w:afterAutospacing="0"/>
              <w:ind w:left="0" w:right="0"/>
              <w:jc w:val="both"/>
              <w:rPr>
                <w:rFonts w:hint="default" w:ascii="Times" w:hAnsi="Times" w:eastAsia="宋体" w:cs="Times"/>
                <w:sz w:val="20"/>
                <w:szCs w:val="20"/>
                <w:lang w:val="en-US"/>
              </w:rPr>
            </w:pPr>
            <w:r>
              <w:rPr>
                <w:rFonts w:hint="default" w:ascii="Times" w:hAnsi="Times" w:eastAsia="宋体" w:cs="Times"/>
                <w:sz w:val="20"/>
                <w:szCs w:val="20"/>
                <w:lang w:val="en-US" w:eastAsia="zh-CN" w:bidi="ar"/>
              </w:rPr>
              <w:t>For mobility enhancement in Rel-18 NR NTN, RAN2 has discussed RACH-less handover. RAN2 would like to check with RAN1 in which of the following listed scenarios RACH-less handover is possible.</w:t>
            </w:r>
          </w:p>
          <w:p>
            <w:pPr>
              <w:keepNext w:val="0"/>
              <w:keepLines w:val="0"/>
              <w:widowControl/>
              <w:suppressLineNumbers w:val="0"/>
              <w:spacing w:before="0" w:beforeAutospacing="0" w:after="0" w:afterAutospacing="0"/>
              <w:ind w:left="0" w:right="0"/>
              <w:jc w:val="both"/>
              <w:rPr>
                <w:rFonts w:hint="default" w:ascii="Times" w:hAnsi="Times" w:eastAsia="宋体" w:cs="Times"/>
                <w:sz w:val="20"/>
                <w:szCs w:val="20"/>
                <w:lang w:val="en-US"/>
              </w:rPr>
            </w:pPr>
          </w:p>
          <w:p>
            <w:pPr>
              <w:keepNext w:val="0"/>
              <w:keepLines w:val="0"/>
              <w:widowControl/>
              <w:numPr>
                <w:ilvl w:val="0"/>
                <w:numId w:val="7"/>
              </w:numPr>
              <w:suppressLineNumbers w:val="0"/>
              <w:spacing w:before="0" w:beforeAutospacing="0" w:after="0" w:afterAutospacing="0"/>
              <w:ind w:right="0"/>
              <w:jc w:val="both"/>
              <w:rPr>
                <w:rFonts w:hint="default" w:ascii="Times" w:hAnsi="Times" w:eastAsia="宋体" w:cs="Times"/>
                <w:sz w:val="20"/>
                <w:szCs w:val="20"/>
                <w:lang w:val="en-US" w:eastAsia="zh-CN"/>
              </w:rPr>
            </w:pPr>
            <w:r>
              <w:rPr>
                <w:rFonts w:hint="default" w:ascii="Times" w:hAnsi="Times" w:eastAsia="宋体" w:cs="Times"/>
                <w:sz w:val="20"/>
                <w:szCs w:val="20"/>
                <w:lang w:val="en-US" w:eastAsia="zh-CN" w:bidi="ar"/>
              </w:rPr>
              <w:t>Intra-satellite handover with the same feeder link. i.e., with same gateway/gNB</w:t>
            </w:r>
          </w:p>
          <w:p>
            <w:pPr>
              <w:keepNext w:val="0"/>
              <w:keepLines w:val="0"/>
              <w:widowControl/>
              <w:numPr>
                <w:ilvl w:val="0"/>
                <w:numId w:val="7"/>
              </w:numPr>
              <w:suppressLineNumbers w:val="0"/>
              <w:spacing w:before="0" w:beforeAutospacing="0" w:after="0" w:afterAutospacing="0"/>
              <w:ind w:right="0"/>
              <w:jc w:val="both"/>
              <w:rPr>
                <w:rFonts w:hint="default" w:ascii="Times" w:hAnsi="Times" w:eastAsia="宋体" w:cs="Times"/>
                <w:sz w:val="20"/>
                <w:szCs w:val="20"/>
                <w:lang w:val="en-US" w:eastAsia="zh-CN"/>
              </w:rPr>
            </w:pPr>
            <w:r>
              <w:rPr>
                <w:rFonts w:hint="default" w:ascii="Times" w:hAnsi="Times" w:eastAsia="宋体" w:cs="Times"/>
                <w:sz w:val="20"/>
                <w:szCs w:val="20"/>
                <w:lang w:val="en-US" w:eastAsia="zh-CN" w:bidi="ar"/>
              </w:rPr>
              <w:t>Intra-satellite handover with different feeder links, i.e., with gateway/gNB switch</w:t>
            </w:r>
          </w:p>
          <w:p>
            <w:pPr>
              <w:keepNext w:val="0"/>
              <w:keepLines w:val="0"/>
              <w:widowControl/>
              <w:numPr>
                <w:ilvl w:val="0"/>
                <w:numId w:val="7"/>
              </w:numPr>
              <w:suppressLineNumbers w:val="0"/>
              <w:spacing w:before="0" w:beforeAutospacing="0" w:after="0" w:afterAutospacing="0"/>
              <w:ind w:right="0"/>
              <w:jc w:val="both"/>
              <w:rPr>
                <w:rFonts w:hint="default" w:ascii="Times" w:hAnsi="Times" w:eastAsia="宋体" w:cs="Times"/>
                <w:sz w:val="20"/>
                <w:szCs w:val="20"/>
                <w:lang w:val="en-US" w:eastAsia="zh-CN"/>
              </w:rPr>
            </w:pPr>
            <w:r>
              <w:rPr>
                <w:rFonts w:hint="default" w:ascii="Times" w:hAnsi="Times" w:eastAsia="宋体" w:cs="Times"/>
                <w:sz w:val="20"/>
                <w:szCs w:val="20"/>
                <w:lang w:val="en-US" w:eastAsia="zh-CN" w:bidi="ar"/>
              </w:rPr>
              <w:t>Inter-satellite handover with gateway/gNB switch</w:t>
            </w:r>
          </w:p>
          <w:p>
            <w:pPr>
              <w:keepNext w:val="0"/>
              <w:keepLines w:val="0"/>
              <w:widowControl/>
              <w:numPr>
                <w:ilvl w:val="0"/>
                <w:numId w:val="7"/>
              </w:numPr>
              <w:suppressLineNumbers w:val="0"/>
              <w:spacing w:before="0" w:beforeAutospacing="0" w:after="0" w:afterAutospacing="0"/>
              <w:ind w:right="0"/>
              <w:jc w:val="both"/>
              <w:rPr>
                <w:rFonts w:hint="default" w:ascii="Times" w:hAnsi="Times" w:eastAsia="宋体" w:cs="Times"/>
                <w:sz w:val="20"/>
                <w:szCs w:val="20"/>
                <w:lang w:val="en-US" w:eastAsia="zh-CN"/>
              </w:rPr>
            </w:pPr>
            <w:r>
              <w:rPr>
                <w:rFonts w:hint="default" w:ascii="Times" w:hAnsi="Times" w:eastAsia="宋体" w:cs="Times"/>
                <w:sz w:val="20"/>
                <w:szCs w:val="20"/>
                <w:lang w:val="en-US" w:eastAsia="zh-CN" w:bidi="ar"/>
              </w:rPr>
              <w:t>Inter-satellite handover with same gateway/gNB</w:t>
            </w:r>
          </w:p>
          <w:p>
            <w:pPr>
              <w:keepNext w:val="0"/>
              <w:keepLines w:val="0"/>
              <w:widowControl/>
              <w:suppressLineNumbers w:val="0"/>
              <w:spacing w:before="0" w:beforeAutospacing="0" w:after="0" w:afterAutospacing="0"/>
              <w:ind w:left="0" w:right="0"/>
              <w:jc w:val="left"/>
              <w:rPr>
                <w:rFonts w:hint="default" w:ascii="Times" w:hAnsi="Times" w:eastAsia="宋体" w:cs="Times"/>
                <w:color w:val="000000"/>
                <w:sz w:val="20"/>
                <w:szCs w:val="20"/>
                <w:lang w:val="en-US" w:eastAsia="ko"/>
              </w:rPr>
            </w:pPr>
          </w:p>
          <w:p>
            <w:pPr>
              <w:keepNext w:val="0"/>
              <w:keepLines w:val="0"/>
              <w:widowControl/>
              <w:suppressLineNumbers w:val="0"/>
              <w:spacing w:before="0" w:beforeAutospacing="0" w:after="0" w:afterAutospacing="0"/>
              <w:ind w:left="0" w:right="0"/>
              <w:jc w:val="left"/>
              <w:rPr>
                <w:rFonts w:hint="default"/>
                <w:sz w:val="20"/>
                <w:szCs w:val="20"/>
                <w:lang w:val="en-US" w:eastAsia="zh-CN"/>
              </w:rPr>
            </w:pPr>
            <w:r>
              <w:rPr>
                <w:rFonts w:hint="default" w:ascii="Times" w:hAnsi="Times" w:eastAsia="宋体" w:cs="Times"/>
                <w:b/>
                <w:sz w:val="20"/>
                <w:szCs w:val="20"/>
                <w:lang w:val="en-US" w:eastAsia="zh-CN" w:bidi="ar"/>
              </w:rPr>
              <w:t>ACTION:</w:t>
            </w:r>
            <w:r>
              <w:rPr>
                <w:rFonts w:hint="default" w:ascii="Times" w:hAnsi="Times" w:eastAsia="宋体" w:cs="Times"/>
                <w:b/>
                <w:sz w:val="20"/>
                <w:szCs w:val="20"/>
                <w:lang w:val="en-US" w:eastAsia="zh-CN" w:bidi="ar"/>
              </w:rPr>
              <w:tab/>
            </w:r>
            <w:r>
              <w:rPr>
                <w:rFonts w:hint="default" w:ascii="Times" w:hAnsi="Times" w:eastAsia="宋体" w:cs="Times"/>
                <w:color w:val="000000"/>
                <w:sz w:val="20"/>
                <w:szCs w:val="20"/>
                <w:lang w:val="en-US" w:eastAsia="zh-CN" w:bidi="ar"/>
              </w:rPr>
              <w:t>RAN2 respectfully asks RAN1 to provide response to the above question.</w:t>
            </w:r>
          </w:p>
        </w:tc>
      </w:tr>
    </w:tbl>
    <w:p>
      <w:pPr>
        <w:jc w:val="both"/>
        <w:rPr>
          <w:lang w:val="en-US" w:eastAsia="zh-CN"/>
        </w:rPr>
      </w:pPr>
    </w:p>
    <w:p>
      <w:pPr>
        <w:jc w:val="both"/>
        <w:rPr>
          <w:b/>
          <w:bCs/>
          <w:lang w:val="en-US" w:eastAsia="zh-CN"/>
        </w:rPr>
      </w:pPr>
      <w:r>
        <w:rPr>
          <w:b/>
          <w:bCs/>
          <w:lang w:val="en-US" w:eastAsia="zh-CN"/>
        </w:rPr>
        <w:t>RAN1 response</w:t>
      </w:r>
    </w:p>
    <w:p>
      <w:pPr>
        <w:spacing w:after="120"/>
        <w:jc w:val="both"/>
        <w:rPr>
          <w:rFonts w:cs="Times"/>
          <w:lang w:val="en-US" w:eastAsia="zh-CN"/>
        </w:rPr>
      </w:pPr>
      <w:r>
        <w:rPr>
          <w:rFonts w:eastAsia="等线" w:cs="Times"/>
          <w:lang w:val="en-US" w:eastAsia="zh-CN" w:bidi="ar"/>
        </w:rPr>
        <w:t xml:space="preserve">For scenario (1), from RAN1 perspective the RACH-less handover is possible, assuming the following notes can be satisfied, when UE UL transmission synchronization can be maintained by applying pre-compensation using the assistance information, e.g., epoch time, ephemeris, common TA, of the target cell. </w:t>
      </w:r>
    </w:p>
    <w:p>
      <w:pPr>
        <w:spacing w:after="120"/>
        <w:jc w:val="both"/>
        <w:rPr>
          <w:rFonts w:cs="Times"/>
          <w:lang w:val="en-US" w:eastAsia="zh-CN"/>
        </w:rPr>
      </w:pPr>
      <w:r>
        <w:rPr>
          <w:rFonts w:eastAsia="等线" w:cs="Times"/>
          <w:lang w:val="en-US" w:eastAsia="zh-CN" w:bidi="ar"/>
        </w:rPr>
        <w:t xml:space="preserve">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 </w:t>
      </w:r>
    </w:p>
    <w:p>
      <w:pPr>
        <w:spacing w:after="0"/>
        <w:jc w:val="both"/>
        <w:rPr>
          <w:lang w:val="en-US" w:eastAsia="zh-CN"/>
        </w:rPr>
      </w:pPr>
      <w:r>
        <w:rPr>
          <w:rFonts w:eastAsia="等线" w:cs="Times"/>
          <w:lang w:val="en-US" w:eastAsia="zh-CN" w:bidi="ar"/>
        </w:rPr>
        <w:t>Note 1: RAN1 assumes that the RAN4 UL synch</w:t>
      </w:r>
      <w:r>
        <w:rPr>
          <w:rFonts w:eastAsia="宋体" w:cs="Times"/>
          <w:lang w:val="en-US" w:eastAsia="zh-CN" w:bidi="ar"/>
        </w:rPr>
        <w:t>ro</w:t>
      </w:r>
      <w:r>
        <w:rPr>
          <w:rFonts w:eastAsia="等线" w:cs="Times"/>
          <w:lang w:val="en-US" w:eastAsia="zh-CN" w:bidi="ar"/>
        </w:rPr>
        <w:t>nization requirement specified in Table 7.1C.2-1 of TS38.133 applies to the first UL transmission in the target cell.</w:t>
      </w:r>
    </w:p>
    <w:p>
      <w:pPr>
        <w:spacing w:after="0"/>
        <w:jc w:val="both"/>
        <w:rPr>
          <w:rFonts w:cs="Times"/>
          <w:lang w:val="en-US"/>
        </w:rPr>
      </w:pPr>
      <w:r>
        <w:rPr>
          <w:rFonts w:eastAsia="等线" w:cs="Times"/>
          <w:lang w:val="en-US" w:eastAsia="zh-CN" w:bidi="ar"/>
        </w:rPr>
        <w:t>Note 2: gNB is expected to provide valid assistance information of the target cell to UE.</w:t>
      </w:r>
    </w:p>
    <w:p>
      <w:pPr>
        <w:spacing w:after="0"/>
        <w:jc w:val="both"/>
        <w:rPr>
          <w:rFonts w:cs="Times"/>
          <w:lang w:val="en-US" w:eastAsia="zh-CN"/>
        </w:rPr>
      </w:pPr>
      <w:r>
        <w:rPr>
          <w:rFonts w:eastAsia="等线" w:cs="Times"/>
          <w:lang w:val="en-US" w:eastAsia="zh-CN" w:bidi="ar"/>
        </w:rPr>
        <w:t>Note 3: gNB is expected to ensure the UE can perform the UL transmission while respecting common TA and UE processing time.</w:t>
      </w:r>
    </w:p>
    <w:p>
      <w:pPr>
        <w:tabs>
          <w:tab w:val="right" w:pos="10649"/>
        </w:tabs>
        <w:spacing w:before="44" w:beforeLines="0" w:afterLines="0"/>
        <w:jc w:val="left"/>
        <w:rPr>
          <w:rFonts w:hint="eastAsia"/>
          <w:lang w:val="en-US" w:eastAsia="zh-CN"/>
        </w:rPr>
      </w:pPr>
      <w:r>
        <w:rPr>
          <w:rFonts w:hint="eastAsia"/>
          <w:b w:val="0"/>
          <w:bCs w:val="0"/>
          <w:sz w:val="24"/>
          <w:szCs w:val="24"/>
          <w:lang w:val="en-US" w:eastAsia="zh-CN"/>
        </w:rPr>
        <w:t>------------------------------------------------</w:t>
      </w:r>
      <w:r>
        <w:rPr>
          <w:rFonts w:hint="eastAsia"/>
          <w:b w:val="0"/>
          <w:bCs w:val="0"/>
          <w:sz w:val="20"/>
          <w:szCs w:val="20"/>
          <w:lang w:val="en-US" w:eastAsia="zh-CN"/>
        </w:rPr>
        <w:t xml:space="preserve"> LS </w:t>
      </w:r>
      <w:r>
        <w:rPr>
          <w:rFonts w:hint="eastAsia"/>
          <w:lang w:val="en-US" w:eastAsia="zh-CN"/>
        </w:rPr>
        <w:t xml:space="preserve">R1-2212997 </w:t>
      </w:r>
      <w:r>
        <w:rPr>
          <w:rFonts w:hint="eastAsia"/>
          <w:b w:val="0"/>
          <w:bCs w:val="0"/>
          <w:sz w:val="24"/>
          <w:szCs w:val="24"/>
          <w:lang w:val="en-US" w:eastAsia="zh-CN"/>
        </w:rPr>
        <w:t>-----------------------------------------------</w:t>
      </w:r>
    </w:p>
    <w:p>
      <w:pPr>
        <w:rPr>
          <w:rFonts w:hint="eastAsia"/>
          <w:lang w:val="en-US" w:eastAsia="zh-CN"/>
        </w:rPr>
      </w:pPr>
      <w:r>
        <w:rPr>
          <w:rFonts w:hint="eastAsia"/>
          <w:lang w:val="en-US" w:eastAsia="zh-CN"/>
        </w:rPr>
        <w:t>Reply LS has been received from RAN1 in R1-2212997 [1] as given above. Regarding above note 2/3, it is about proper NW configuration which is also assumed for R17 therefore them shall be satisfied. While note 1 is RAN4 specified requirement for UE to perform uplink optimization which is the premise for UE to connects to NTN. Based on the reply it is confirmed by RAN1 that RACH -less HO is feasible with proper NW configuration. Our interpretation is that with existing pre-compensation mechanism RACH-less handover shall be able to be supported. Considering RACH-less HO helps in sense of reduce access delay, it is proposed to support RACH-less HO.</w:t>
      </w:r>
    </w:p>
    <w:p>
      <w:pPr>
        <w:rPr>
          <w:rFonts w:hint="default" w:cs="Times New Roman"/>
          <w:b/>
          <w:bCs/>
          <w:sz w:val="20"/>
          <w:szCs w:val="20"/>
          <w:lang w:val="en-US" w:eastAsia="zh-CN"/>
        </w:rPr>
      </w:pPr>
      <w:r>
        <w:rPr>
          <w:rFonts w:hint="eastAsia" w:cs="Times New Roman"/>
          <w:b/>
          <w:bCs/>
          <w:sz w:val="20"/>
          <w:szCs w:val="20"/>
          <w:lang w:val="en-US" w:eastAsia="zh-CN"/>
        </w:rPr>
        <w:t>Observation 9: Reply LS has been received from RAN1 in R1-2212997 indicating RACH-less HO is feasible with proper UL synchronization, which can be obtained by proper NW and UE</w:t>
      </w:r>
      <w:r>
        <w:rPr>
          <w:rFonts w:hint="default" w:cs="Times New Roman"/>
          <w:b/>
          <w:bCs/>
          <w:sz w:val="20"/>
          <w:szCs w:val="20"/>
          <w:lang w:val="en-US" w:eastAsia="zh-CN"/>
        </w:rPr>
        <w:t>’</w:t>
      </w:r>
      <w:r>
        <w:rPr>
          <w:rFonts w:hint="eastAsia" w:cs="Times New Roman"/>
          <w:b/>
          <w:bCs/>
          <w:sz w:val="20"/>
          <w:szCs w:val="20"/>
          <w:lang w:val="en-US" w:eastAsia="zh-CN"/>
        </w:rPr>
        <w:t xml:space="preserve">s implementation. </w:t>
      </w:r>
    </w:p>
    <w:p>
      <w:pPr>
        <w:rPr>
          <w:rFonts w:hint="eastAsia" w:cs="Times New Roman"/>
          <w:b/>
          <w:bCs/>
          <w:sz w:val="20"/>
          <w:szCs w:val="20"/>
          <w:lang w:val="en-US" w:eastAsia="zh-CN"/>
        </w:rPr>
      </w:pPr>
      <w:r>
        <w:rPr>
          <w:rFonts w:hint="eastAsia" w:cs="Times New Roman"/>
          <w:b/>
          <w:bCs/>
          <w:sz w:val="20"/>
          <w:szCs w:val="20"/>
          <w:lang w:val="en-US" w:eastAsia="zh-CN"/>
        </w:rPr>
        <w:t>Proposal 6: RACH-less HO is supported in NTN.</w:t>
      </w:r>
    </w:p>
    <w:p>
      <w:pPr>
        <w:rPr>
          <w:rFonts w:hint="default"/>
          <w:b/>
          <w:bCs/>
          <w:highlight w:val="none"/>
          <w:lang w:val="en-US" w:eastAsia="zh-CN"/>
        </w:rPr>
      </w:pPr>
    </w:p>
    <w:p>
      <w:pPr>
        <w:pStyle w:val="68"/>
        <w:widowControl/>
        <w:ind w:firstLine="0" w:firstLineChars="0"/>
        <w:jc w:val="left"/>
        <w:rPr>
          <w:rFonts w:ascii="Arial" w:hAnsi="Arial" w:cs="Arial"/>
          <w:b/>
          <w:sz w:val="20"/>
          <w:szCs w:val="20"/>
        </w:rPr>
      </w:pPr>
    </w:p>
    <w:bookmarkEnd w:id="2"/>
    <w:bookmarkEnd w:id="3"/>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lang w:val="en-US" w:eastAsia="zh-CN"/>
        </w:rPr>
        <w:t xml:space="preserve"> </w:t>
      </w:r>
    </w:p>
    <w:p>
      <w:pPr>
        <w:rPr>
          <w:rFonts w:hint="default" w:ascii="Times New Roman" w:hAnsi="Times New Roman" w:cs="Times New Roman"/>
          <w:bCs/>
          <w:kern w:val="0"/>
          <w:sz w:val="20"/>
          <w:szCs w:val="20"/>
        </w:rPr>
      </w:pPr>
      <w:r>
        <w:rPr>
          <w:rFonts w:hint="default" w:ascii="Times New Roman" w:hAnsi="Times New Roman" w:cs="Times New Roman"/>
          <w:bCs/>
          <w:kern w:val="0"/>
          <w:sz w:val="20"/>
          <w:szCs w:val="20"/>
        </w:rPr>
        <w:t xml:space="preserve">Based on the analysis in previous sections, the following observations and proposals are given: </w:t>
      </w:r>
    </w:p>
    <w:p>
      <w:pPr>
        <w:bidi w:val="0"/>
        <w:rPr>
          <w:rFonts w:hint="default"/>
          <w:u w:val="single"/>
          <w:lang w:val="en-US" w:eastAsia="zh-CN"/>
        </w:rPr>
      </w:pPr>
      <w:r>
        <w:rPr>
          <w:rFonts w:hint="eastAsia"/>
          <w:u w:val="single"/>
          <w:lang w:val="en-US" w:eastAsia="zh-CN"/>
        </w:rPr>
        <w:t xml:space="preserve">Signalling overhead reduction </w:t>
      </w:r>
    </w:p>
    <w:p>
      <w:pPr>
        <w:rPr>
          <w:rFonts w:hint="default" w:ascii="Times New Roman" w:hAnsi="Times New Roman" w:cs="Times New Roman"/>
          <w:b w:val="0"/>
          <w:bCs w:val="0"/>
          <w:i/>
          <w:iCs/>
          <w:sz w:val="20"/>
          <w:szCs w:val="20"/>
          <w:lang w:val="en-US" w:eastAsia="zh-CN"/>
        </w:rPr>
      </w:pPr>
      <w:r>
        <w:rPr>
          <w:rFonts w:hint="default" w:ascii="Times New Roman" w:hAnsi="Times New Roman" w:cs="Times New Roman"/>
          <w:b w:val="0"/>
          <w:bCs w:val="0"/>
          <w:i/>
          <w:iCs/>
          <w:sz w:val="20"/>
          <w:szCs w:val="20"/>
        </w:rPr>
        <w:t xml:space="preserve">Observation </w:t>
      </w:r>
      <w:r>
        <w:rPr>
          <w:rFonts w:hint="eastAsia" w:cs="Times New Roman"/>
          <w:b w:val="0"/>
          <w:bCs w:val="0"/>
          <w:i/>
          <w:iCs/>
          <w:sz w:val="20"/>
          <w:szCs w:val="20"/>
          <w:lang w:val="en-US" w:eastAsia="zh-CN"/>
        </w:rPr>
        <w:t>1</w:t>
      </w:r>
      <w:r>
        <w:rPr>
          <w:rFonts w:hint="default" w:ascii="Times New Roman" w:hAnsi="Times New Roman" w:cs="Times New Roman"/>
          <w:b w:val="0"/>
          <w:bCs w:val="0"/>
          <w:i/>
          <w:iCs/>
          <w:sz w:val="20"/>
          <w:szCs w:val="20"/>
        </w:rPr>
        <w:t xml:space="preserve">: </w:t>
      </w:r>
      <w:r>
        <w:rPr>
          <w:rFonts w:hint="eastAsia" w:cs="Times New Roman"/>
          <w:b w:val="0"/>
          <w:bCs w:val="0"/>
          <w:i/>
          <w:iCs/>
          <w:sz w:val="20"/>
          <w:szCs w:val="20"/>
          <w:lang w:val="en-US" w:eastAsia="zh-CN"/>
        </w:rPr>
        <w:t xml:space="preserve">The motivation to have group HO is that UE at similar location might handover to the same target due to movement of satellite which can be achieved by proper configuration of location/time-based CHO, an already supported feature in R17. </w:t>
      </w:r>
    </w:p>
    <w:p>
      <w:pPr>
        <w:rPr>
          <w:rFonts w:hint="default" w:ascii="Times New Roman" w:hAnsi="Times New Roman" w:cs="Times New Roman"/>
          <w:b w:val="0"/>
          <w:bCs w:val="0"/>
          <w:i/>
          <w:iCs/>
          <w:sz w:val="20"/>
          <w:szCs w:val="20"/>
          <w:lang w:val="en-US" w:eastAsia="zh-CN"/>
        </w:rPr>
      </w:pPr>
      <w:r>
        <w:rPr>
          <w:rFonts w:hint="default" w:ascii="Times New Roman" w:hAnsi="Times New Roman" w:cs="Times New Roman"/>
          <w:b w:val="0"/>
          <w:bCs w:val="0"/>
          <w:i/>
          <w:iCs/>
          <w:sz w:val="20"/>
          <w:szCs w:val="20"/>
        </w:rPr>
        <w:t xml:space="preserve">Observation </w:t>
      </w:r>
      <w:r>
        <w:rPr>
          <w:rFonts w:hint="eastAsia" w:cs="Times New Roman"/>
          <w:b w:val="0"/>
          <w:bCs w:val="0"/>
          <w:i/>
          <w:iCs/>
          <w:sz w:val="20"/>
          <w:szCs w:val="20"/>
          <w:lang w:val="en-US" w:eastAsia="zh-CN"/>
        </w:rPr>
        <w:t>2</w:t>
      </w:r>
      <w:r>
        <w:rPr>
          <w:rFonts w:hint="default" w:ascii="Times New Roman" w:hAnsi="Times New Roman" w:cs="Times New Roman"/>
          <w:b w:val="0"/>
          <w:bCs w:val="0"/>
          <w:i/>
          <w:iCs/>
          <w:sz w:val="20"/>
          <w:szCs w:val="20"/>
        </w:rPr>
        <w:t xml:space="preserve">: </w:t>
      </w:r>
      <w:r>
        <w:rPr>
          <w:rFonts w:hint="eastAsia" w:ascii="Times New Roman" w:hAnsi="Times New Roman" w:cs="Times New Roman"/>
          <w:b w:val="0"/>
          <w:bCs w:val="0"/>
          <w:i/>
          <w:iCs/>
          <w:sz w:val="20"/>
          <w:szCs w:val="20"/>
          <w:lang w:val="en-US" w:eastAsia="zh-CN"/>
        </w:rPr>
        <w:t>Options to support g</w:t>
      </w:r>
      <w:r>
        <w:rPr>
          <w:rFonts w:hint="default" w:ascii="Times New Roman" w:hAnsi="Times New Roman" w:cs="Times New Roman"/>
          <w:b w:val="0"/>
          <w:bCs w:val="0"/>
          <w:i/>
          <w:iCs/>
          <w:sz w:val="20"/>
          <w:szCs w:val="20"/>
        </w:rPr>
        <w:t>roup HO</w:t>
      </w:r>
      <w:r>
        <w:rPr>
          <w:rFonts w:hint="eastAsia" w:ascii="Times New Roman" w:hAnsi="Times New Roman" w:cs="Times New Roman"/>
          <w:b w:val="0"/>
          <w:bCs w:val="0"/>
          <w:i/>
          <w:iCs/>
          <w:sz w:val="20"/>
          <w:szCs w:val="20"/>
          <w:lang w:val="en-US" w:eastAsia="zh-CN"/>
        </w:rPr>
        <w:t xml:space="preserve"> either have little gain in reducing signalling overhead or has large specs impact</w:t>
      </w:r>
      <w:r>
        <w:rPr>
          <w:rFonts w:hint="eastAsia" w:cs="Times New Roman"/>
          <w:b w:val="0"/>
          <w:bCs w:val="0"/>
          <w:i/>
          <w:iCs/>
          <w:sz w:val="20"/>
          <w:szCs w:val="20"/>
          <w:lang w:val="en-US" w:eastAsia="zh-CN"/>
        </w:rPr>
        <w:t xml:space="preserve"> (e.g., new common signalling might be needed)</w:t>
      </w:r>
    </w:p>
    <w:p>
      <w:pPr>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 xml:space="preserve">Observation </w:t>
      </w:r>
      <w:r>
        <w:rPr>
          <w:rFonts w:hint="eastAsia" w:cs="Times New Roman"/>
          <w:b w:val="0"/>
          <w:bCs w:val="0"/>
          <w:i/>
          <w:iCs/>
          <w:sz w:val="20"/>
          <w:szCs w:val="20"/>
          <w:lang w:val="en-US" w:eastAsia="zh-CN"/>
        </w:rPr>
        <w:t>3</w:t>
      </w:r>
      <w:r>
        <w:rPr>
          <w:rFonts w:hint="eastAsia" w:ascii="Times New Roman" w:hAnsi="Times New Roman" w:cs="Times New Roman"/>
          <w:b w:val="0"/>
          <w:bCs w:val="0"/>
          <w:i/>
          <w:iCs/>
          <w:sz w:val="20"/>
          <w:szCs w:val="20"/>
          <w:lang w:val="en-US" w:eastAsia="zh-CN"/>
        </w:rPr>
        <w:t xml:space="preserve">: </w:t>
      </w:r>
      <w:r>
        <w:rPr>
          <w:rFonts w:hint="eastAsia" w:cs="Times New Roman"/>
          <w:b w:val="0"/>
          <w:bCs w:val="0"/>
          <w:i/>
          <w:iCs/>
          <w:sz w:val="20"/>
          <w:szCs w:val="20"/>
          <w:lang w:val="en-US" w:eastAsia="zh-CN"/>
        </w:rPr>
        <w:t>U</w:t>
      </w:r>
      <w:r>
        <w:rPr>
          <w:rFonts w:hint="eastAsia" w:ascii="Times New Roman" w:hAnsi="Times New Roman" w:cs="Times New Roman"/>
          <w:b w:val="0"/>
          <w:bCs w:val="0"/>
          <w:i/>
          <w:iCs/>
          <w:sz w:val="20"/>
          <w:szCs w:val="20"/>
          <w:lang w:val="en-US" w:eastAsia="zh-CN"/>
        </w:rPr>
        <w:t>s</w:t>
      </w:r>
      <w:r>
        <w:rPr>
          <w:rFonts w:hint="eastAsia" w:cs="Times New Roman"/>
          <w:b w:val="0"/>
          <w:bCs w:val="0"/>
          <w:i/>
          <w:iCs/>
          <w:sz w:val="20"/>
          <w:szCs w:val="20"/>
          <w:lang w:val="en-US" w:eastAsia="zh-CN"/>
        </w:rPr>
        <w:t>ing</w:t>
      </w:r>
      <w:r>
        <w:rPr>
          <w:rFonts w:hint="eastAsia" w:ascii="Times New Roman" w:hAnsi="Times New Roman" w:cs="Times New Roman"/>
          <w:b w:val="0"/>
          <w:bCs w:val="0"/>
          <w:i/>
          <w:iCs/>
          <w:sz w:val="20"/>
          <w:szCs w:val="20"/>
          <w:lang w:val="en-US" w:eastAsia="zh-CN"/>
        </w:rPr>
        <w:t xml:space="preserve"> system information to broadcast common </w:t>
      </w:r>
      <w:r>
        <w:rPr>
          <w:rFonts w:hint="eastAsia" w:cs="Times New Roman"/>
          <w:b w:val="0"/>
          <w:bCs w:val="0"/>
          <w:i/>
          <w:iCs/>
          <w:sz w:val="20"/>
          <w:szCs w:val="20"/>
          <w:lang w:val="en-US" w:eastAsia="zh-CN"/>
        </w:rPr>
        <w:t xml:space="preserve">HO </w:t>
      </w:r>
      <w:r>
        <w:rPr>
          <w:rFonts w:hint="eastAsia" w:ascii="Times New Roman" w:hAnsi="Times New Roman" w:cs="Times New Roman"/>
          <w:b w:val="0"/>
          <w:bCs w:val="0"/>
          <w:i/>
          <w:iCs/>
          <w:sz w:val="20"/>
          <w:szCs w:val="20"/>
          <w:lang w:val="en-US" w:eastAsia="zh-CN"/>
        </w:rPr>
        <w:t>configuration</w:t>
      </w:r>
      <w:r>
        <w:rPr>
          <w:rFonts w:hint="eastAsia" w:cs="Times New Roman"/>
          <w:b w:val="0"/>
          <w:bCs w:val="0"/>
          <w:i/>
          <w:iCs/>
          <w:sz w:val="20"/>
          <w:szCs w:val="20"/>
          <w:lang w:val="en-US" w:eastAsia="zh-CN"/>
        </w:rPr>
        <w:t xml:space="preserve"> (e.g. common cell specific parameters) is helpful</w:t>
      </w:r>
      <w:r>
        <w:rPr>
          <w:rFonts w:hint="eastAsia" w:ascii="Times New Roman" w:hAnsi="Times New Roman" w:cs="Times New Roman"/>
          <w:b w:val="0"/>
          <w:bCs w:val="0"/>
          <w:i/>
          <w:iCs/>
          <w:sz w:val="20"/>
          <w:szCs w:val="20"/>
          <w:lang w:val="en-US" w:eastAsia="zh-CN"/>
        </w:rPr>
        <w:t xml:space="preserve"> </w:t>
      </w:r>
      <w:r>
        <w:rPr>
          <w:rFonts w:hint="eastAsia" w:cs="Times New Roman"/>
          <w:b w:val="0"/>
          <w:bCs w:val="0"/>
          <w:i/>
          <w:iCs/>
          <w:sz w:val="20"/>
          <w:szCs w:val="20"/>
          <w:lang w:val="en-US" w:eastAsia="zh-CN"/>
        </w:rPr>
        <w:t>for</w:t>
      </w:r>
      <w:r>
        <w:rPr>
          <w:rFonts w:hint="eastAsia" w:ascii="Times New Roman" w:hAnsi="Times New Roman" w:cs="Times New Roman"/>
          <w:b w:val="0"/>
          <w:bCs w:val="0"/>
          <w:i/>
          <w:iCs/>
          <w:sz w:val="20"/>
          <w:szCs w:val="20"/>
          <w:lang w:val="en-US" w:eastAsia="zh-CN"/>
        </w:rPr>
        <w:t xml:space="preserve"> signalling overhead</w:t>
      </w:r>
      <w:r>
        <w:rPr>
          <w:rFonts w:hint="eastAsia" w:cs="Times New Roman"/>
          <w:b w:val="0"/>
          <w:bCs w:val="0"/>
          <w:i/>
          <w:iCs/>
          <w:sz w:val="20"/>
          <w:szCs w:val="20"/>
          <w:lang w:val="en-US" w:eastAsia="zh-CN"/>
        </w:rPr>
        <w:t xml:space="preserve"> reduction</w:t>
      </w:r>
      <w:r>
        <w:rPr>
          <w:rFonts w:hint="eastAsia" w:ascii="Times New Roman" w:hAnsi="Times New Roman" w:cs="Times New Roman"/>
          <w:b w:val="0"/>
          <w:bCs w:val="0"/>
          <w:i/>
          <w:iCs/>
          <w:sz w:val="20"/>
          <w:szCs w:val="20"/>
          <w:lang w:val="en-US" w:eastAsia="zh-CN"/>
        </w:rPr>
        <w:t xml:space="preserve"> </w:t>
      </w:r>
    </w:p>
    <w:p>
      <w:pPr>
        <w:rPr>
          <w:rFonts w:hint="eastAsia"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 xml:space="preserve">Observation </w:t>
      </w:r>
      <w:r>
        <w:rPr>
          <w:rFonts w:hint="eastAsia" w:cs="Times New Roman"/>
          <w:b w:val="0"/>
          <w:bCs w:val="0"/>
          <w:i/>
          <w:iCs/>
          <w:sz w:val="20"/>
          <w:szCs w:val="20"/>
          <w:lang w:val="en-US" w:eastAsia="zh-CN"/>
        </w:rPr>
        <w:t>4</w:t>
      </w:r>
      <w:r>
        <w:rPr>
          <w:rFonts w:hint="eastAsia" w:ascii="Times New Roman" w:hAnsi="Times New Roman" w:cs="Times New Roman"/>
          <w:b w:val="0"/>
          <w:bCs w:val="0"/>
          <w:i/>
          <w:iCs/>
          <w:sz w:val="20"/>
          <w:szCs w:val="20"/>
          <w:lang w:val="en-US" w:eastAsia="zh-CN"/>
        </w:rPr>
        <w:t xml:space="preserve">: Dedicated signalling is helpful for provide or update </w:t>
      </w:r>
      <w:r>
        <w:rPr>
          <w:rFonts w:hint="eastAsia" w:cs="Times New Roman"/>
          <w:b w:val="0"/>
          <w:bCs w:val="0"/>
          <w:i/>
          <w:iCs/>
          <w:sz w:val="20"/>
          <w:szCs w:val="20"/>
          <w:lang w:val="en-US" w:eastAsia="zh-CN"/>
        </w:rPr>
        <w:t>HO</w:t>
      </w:r>
      <w:r>
        <w:rPr>
          <w:rFonts w:hint="eastAsia" w:ascii="Times New Roman" w:hAnsi="Times New Roman" w:cs="Times New Roman"/>
          <w:b w:val="0"/>
          <w:bCs w:val="0"/>
          <w:i/>
          <w:iCs/>
          <w:sz w:val="20"/>
          <w:szCs w:val="20"/>
          <w:lang w:val="en-US" w:eastAsia="zh-CN"/>
        </w:rPr>
        <w:t xml:space="preserve"> configuration to provide UE specific configuration (e.g., contention free resource).</w:t>
      </w:r>
    </w:p>
    <w:p>
      <w:pPr>
        <w:rPr>
          <w:rFonts w:hint="default" w:ascii="Times New Roman" w:hAnsi="Times New Roman" w:cs="Times New Roman"/>
          <w:b w:val="0"/>
          <w:bCs w:val="0"/>
          <w:i/>
          <w:iCs/>
          <w:sz w:val="20"/>
          <w:szCs w:val="20"/>
          <w:lang w:val="en-US" w:eastAsia="zh-CN"/>
        </w:rPr>
      </w:pPr>
      <w:r>
        <w:rPr>
          <w:rFonts w:hint="eastAsia" w:cs="Times New Roman"/>
          <w:b/>
          <w:bCs/>
          <w:sz w:val="20"/>
          <w:szCs w:val="20"/>
          <w:lang w:val="en-US" w:eastAsia="zh-CN"/>
        </w:rPr>
        <w:t>Proposal 1: For signalling overhead reduction, RAN2 de-prioritize the discussion on group HO.</w:t>
      </w:r>
    </w:p>
    <w:p>
      <w:pPr>
        <w:rPr>
          <w:rFonts w:hint="eastAsia" w:cs="Times New Roman"/>
          <w:b/>
          <w:bCs/>
          <w:sz w:val="20"/>
          <w:szCs w:val="20"/>
          <w:lang w:val="en-US" w:eastAsia="zh-CN"/>
        </w:rPr>
      </w:pPr>
      <w:r>
        <w:rPr>
          <w:rFonts w:hint="eastAsia" w:cs="Times New Roman"/>
          <w:b/>
          <w:bCs/>
          <w:sz w:val="20"/>
          <w:szCs w:val="20"/>
          <w:lang w:val="en-US" w:eastAsia="zh-CN"/>
        </w:rPr>
        <w:t>Proposal 2: System information can be used to provide (C)HO configuration.</w:t>
      </w:r>
    </w:p>
    <w:p>
      <w:pPr>
        <w:rPr>
          <w:rFonts w:hint="default" w:cs="Times New Roman"/>
          <w:sz w:val="20"/>
          <w:szCs w:val="20"/>
          <w:lang w:val="en-US" w:eastAsia="zh-CN"/>
        </w:rPr>
      </w:pPr>
      <w:r>
        <w:rPr>
          <w:rFonts w:hint="eastAsia" w:cs="Times New Roman"/>
          <w:b/>
          <w:bCs/>
          <w:sz w:val="20"/>
          <w:szCs w:val="20"/>
          <w:lang w:val="en-US" w:eastAsia="zh-CN"/>
        </w:rPr>
        <w:t>Proposal 3: Dedicated RRC signalling can be used to modify or release the (C)HO configuration provided in system information.</w:t>
      </w:r>
    </w:p>
    <w:p>
      <w:pPr>
        <w:rPr>
          <w:rFonts w:hint="default" w:ascii="Times New Roman" w:hAnsi="Times New Roman" w:cs="Times New Roman"/>
          <w:b w:val="0"/>
          <w:bCs w:val="0"/>
          <w:i/>
          <w:iCs/>
          <w:sz w:val="20"/>
          <w:szCs w:val="20"/>
        </w:rPr>
      </w:pPr>
      <w:r>
        <w:rPr>
          <w:rFonts w:hint="default" w:ascii="Times New Roman" w:hAnsi="Times New Roman" w:cs="Times New Roman"/>
          <w:b w:val="0"/>
          <w:bCs w:val="0"/>
          <w:i/>
          <w:iCs/>
          <w:sz w:val="20"/>
          <w:szCs w:val="20"/>
        </w:rPr>
        <w:t xml:space="preserve">Observation </w:t>
      </w:r>
      <w:r>
        <w:rPr>
          <w:rFonts w:hint="eastAsia" w:cs="Times New Roman"/>
          <w:b w:val="0"/>
          <w:bCs w:val="0"/>
          <w:i/>
          <w:iCs/>
          <w:sz w:val="20"/>
          <w:szCs w:val="20"/>
          <w:lang w:val="en-US" w:eastAsia="zh-CN"/>
        </w:rPr>
        <w:t>5</w:t>
      </w:r>
      <w:r>
        <w:rPr>
          <w:rFonts w:hint="default" w:ascii="Times New Roman" w:hAnsi="Times New Roman" w:cs="Times New Roman"/>
          <w:b w:val="0"/>
          <w:bCs w:val="0"/>
          <w:i/>
          <w:iCs/>
          <w:sz w:val="20"/>
          <w:szCs w:val="20"/>
        </w:rPr>
        <w:t xml:space="preserve">: NW might handover UE to CHO candidate cells before CHO is triggered due to </w:t>
      </w:r>
      <w:r>
        <w:rPr>
          <w:rFonts w:hint="eastAsia" w:cs="Times New Roman"/>
          <w:b w:val="0"/>
          <w:bCs w:val="0"/>
          <w:i/>
          <w:iCs/>
          <w:sz w:val="20"/>
          <w:szCs w:val="20"/>
          <w:lang w:val="en-US" w:eastAsia="zh-CN"/>
        </w:rPr>
        <w:t xml:space="preserve">sudden change of orbits or </w:t>
      </w:r>
      <w:r>
        <w:rPr>
          <w:rFonts w:hint="default" w:ascii="Times New Roman" w:hAnsi="Times New Roman" w:cs="Times New Roman"/>
          <w:b w:val="0"/>
          <w:bCs w:val="0"/>
          <w:i/>
          <w:iCs/>
          <w:sz w:val="20"/>
          <w:szCs w:val="20"/>
        </w:rPr>
        <w:t>other purpose, e.g., load balancing.</w:t>
      </w:r>
    </w:p>
    <w:p>
      <w:pPr>
        <w:rPr>
          <w:rFonts w:hint="default" w:ascii="Times New Roman" w:hAnsi="Times New Roman" w:cs="Times New Roman"/>
          <w:b w:val="0"/>
          <w:bCs w:val="0"/>
          <w:i/>
          <w:iCs/>
          <w:sz w:val="20"/>
          <w:szCs w:val="20"/>
        </w:rPr>
      </w:pPr>
      <w:r>
        <w:rPr>
          <w:rFonts w:hint="default" w:ascii="Times New Roman" w:hAnsi="Times New Roman" w:cs="Times New Roman"/>
          <w:b w:val="0"/>
          <w:bCs w:val="0"/>
          <w:i/>
          <w:iCs/>
          <w:sz w:val="20"/>
          <w:szCs w:val="20"/>
        </w:rPr>
        <w:t xml:space="preserve">Observation </w:t>
      </w:r>
      <w:r>
        <w:rPr>
          <w:rFonts w:hint="eastAsia" w:cs="Times New Roman"/>
          <w:b w:val="0"/>
          <w:bCs w:val="0"/>
          <w:i/>
          <w:iCs/>
          <w:sz w:val="20"/>
          <w:szCs w:val="20"/>
          <w:lang w:val="en-US" w:eastAsia="zh-CN"/>
        </w:rPr>
        <w:t>6</w:t>
      </w:r>
      <w:r>
        <w:rPr>
          <w:rFonts w:hint="default" w:ascii="Times New Roman" w:hAnsi="Times New Roman" w:cs="Times New Roman"/>
          <w:b w:val="0"/>
          <w:bCs w:val="0"/>
          <w:i/>
          <w:iCs/>
          <w:sz w:val="20"/>
          <w:szCs w:val="20"/>
        </w:rPr>
        <w:t>: When handover UE to one of CHO candidate target cells, the CHO configuration stored in UE can be easily reused therefore only information used to identify CHO candidate cell (e.g., PCI or candidate cell index) is needed, which can help reduce signalling overhead of HO command significantly.</w:t>
      </w:r>
    </w:p>
    <w:p>
      <w:pPr>
        <w:rPr>
          <w:rFonts w:hint="default" w:ascii="Times New Roman" w:hAnsi="Times New Roman" w:cs="Times New Roman"/>
          <w:b w:val="0"/>
          <w:bCs w:val="0"/>
          <w:i/>
          <w:iCs/>
          <w:sz w:val="20"/>
          <w:szCs w:val="20"/>
        </w:rPr>
      </w:pPr>
      <w:r>
        <w:rPr>
          <w:rFonts w:hint="default" w:ascii="Times New Roman" w:hAnsi="Times New Roman" w:cs="Times New Roman"/>
          <w:b w:val="0"/>
          <w:bCs w:val="0"/>
          <w:i/>
          <w:iCs/>
          <w:sz w:val="20"/>
          <w:szCs w:val="20"/>
        </w:rPr>
        <w:t xml:space="preserve">Observation </w:t>
      </w:r>
      <w:r>
        <w:rPr>
          <w:rFonts w:hint="eastAsia" w:cs="Times New Roman"/>
          <w:b w:val="0"/>
          <w:bCs w:val="0"/>
          <w:i/>
          <w:iCs/>
          <w:sz w:val="20"/>
          <w:szCs w:val="20"/>
          <w:lang w:val="en-US" w:eastAsia="zh-CN"/>
        </w:rPr>
        <w:t>7</w:t>
      </w:r>
      <w:r>
        <w:rPr>
          <w:rFonts w:hint="default" w:ascii="Times New Roman" w:hAnsi="Times New Roman" w:cs="Times New Roman"/>
          <w:b w:val="0"/>
          <w:bCs w:val="0"/>
          <w:i/>
          <w:iCs/>
          <w:sz w:val="20"/>
          <w:szCs w:val="20"/>
        </w:rPr>
        <w:t>: Reduced HO command size also helps improv</w:t>
      </w:r>
      <w:r>
        <w:rPr>
          <w:rFonts w:hint="default" w:ascii="Times New Roman" w:hAnsi="Times New Roman" w:cs="Times New Roman"/>
          <w:b w:val="0"/>
          <w:bCs w:val="0"/>
          <w:i/>
          <w:iCs/>
          <w:sz w:val="20"/>
          <w:szCs w:val="20"/>
          <w:lang w:val="en-US" w:eastAsia="zh-CN"/>
        </w:rPr>
        <w:t>ing</w:t>
      </w:r>
      <w:r>
        <w:rPr>
          <w:rFonts w:hint="default" w:ascii="Times New Roman" w:hAnsi="Times New Roman" w:cs="Times New Roman"/>
          <w:b w:val="0"/>
          <w:bCs w:val="0"/>
          <w:i/>
          <w:iCs/>
          <w:sz w:val="20"/>
          <w:szCs w:val="20"/>
        </w:rPr>
        <w:t xml:space="preserve"> the successful rate of reception of RRCReconfigurtaion message therefore improve</w:t>
      </w:r>
      <w:r>
        <w:rPr>
          <w:rFonts w:hint="default" w:ascii="Times New Roman" w:hAnsi="Times New Roman" w:cs="Times New Roman"/>
          <w:b w:val="0"/>
          <w:bCs w:val="0"/>
          <w:i/>
          <w:iCs/>
          <w:sz w:val="20"/>
          <w:szCs w:val="20"/>
          <w:lang w:val="en-US" w:eastAsia="zh-CN"/>
        </w:rPr>
        <w:t>s</w:t>
      </w:r>
      <w:r>
        <w:rPr>
          <w:rFonts w:hint="default" w:ascii="Times New Roman" w:hAnsi="Times New Roman" w:cs="Times New Roman"/>
          <w:b w:val="0"/>
          <w:bCs w:val="0"/>
          <w:i/>
          <w:iCs/>
          <w:sz w:val="20"/>
          <w:szCs w:val="20"/>
        </w:rPr>
        <w:t xml:space="preserve"> overall HO performance.</w:t>
      </w:r>
    </w:p>
    <w:p>
      <w:pPr>
        <w:jc w:val="left"/>
        <w:rPr>
          <w:rFonts w:hint="default" w:ascii="Times New Roman" w:hAnsi="Times New Roman" w:cs="Times New Roman"/>
          <w:b/>
          <w:sz w:val="20"/>
          <w:szCs w:val="20"/>
        </w:rPr>
      </w:pPr>
      <w:r>
        <w:rPr>
          <w:rFonts w:hint="default" w:ascii="Times New Roman" w:hAnsi="Times New Roman" w:cs="Times New Roman"/>
          <w:b/>
          <w:sz w:val="20"/>
          <w:szCs w:val="20"/>
        </w:rPr>
        <w:t xml:space="preserve">Proposal </w:t>
      </w:r>
      <w:r>
        <w:rPr>
          <w:rFonts w:hint="eastAsia" w:cs="Times New Roman"/>
          <w:b/>
          <w:sz w:val="20"/>
          <w:szCs w:val="20"/>
          <w:lang w:val="en-US" w:eastAsia="zh-CN"/>
        </w:rPr>
        <w:t>4</w:t>
      </w:r>
      <w:r>
        <w:rPr>
          <w:rFonts w:hint="default" w:ascii="Times New Roman" w:hAnsi="Times New Roman" w:cs="Times New Roman"/>
          <w:b/>
          <w:sz w:val="20"/>
          <w:szCs w:val="20"/>
        </w:rPr>
        <w:t xml:space="preserve">: The CHO candidate target cell identity or index can be included in the HO command to trigger conventional handover to this cell thus the detailed configuration would be omitted and UE should apply the </w:t>
      </w:r>
      <w:r>
        <w:rPr>
          <w:rFonts w:hint="default" w:ascii="Times New Roman" w:hAnsi="Times New Roman" w:cs="Times New Roman"/>
          <w:b/>
          <w:i/>
          <w:sz w:val="20"/>
          <w:szCs w:val="20"/>
        </w:rPr>
        <w:t>condRRCReconfig</w:t>
      </w:r>
      <w:r>
        <w:rPr>
          <w:rFonts w:hint="default" w:ascii="Times New Roman" w:hAnsi="Times New Roman" w:cs="Times New Roman"/>
          <w:b/>
          <w:sz w:val="20"/>
          <w:szCs w:val="20"/>
        </w:rPr>
        <w:t xml:space="preserve"> stored for this cell.</w:t>
      </w:r>
    </w:p>
    <w:p>
      <w:pPr>
        <w:bidi w:val="0"/>
        <w:rPr>
          <w:rFonts w:hint="default"/>
          <w:u w:val="single"/>
          <w:lang w:val="en-US" w:eastAsia="zh-CN"/>
        </w:rPr>
      </w:pPr>
      <w:r>
        <w:rPr>
          <w:rFonts w:hint="eastAsia"/>
          <w:u w:val="single"/>
          <w:lang w:val="en-US" w:eastAsia="zh-CN"/>
        </w:rPr>
        <w:t>PCI unchanged solution</w:t>
      </w:r>
    </w:p>
    <w:p>
      <w:pPr>
        <w:rPr>
          <w:rFonts w:hint="default"/>
          <w:b w:val="0"/>
          <w:bCs w:val="0"/>
          <w:i/>
          <w:iCs/>
          <w:lang w:val="en-US" w:eastAsia="zh-CN"/>
        </w:rPr>
      </w:pPr>
      <w:r>
        <w:rPr>
          <w:rFonts w:hint="eastAsia"/>
          <w:b w:val="0"/>
          <w:bCs w:val="0"/>
          <w:i/>
          <w:iCs/>
          <w:lang w:val="en-US" w:eastAsia="zh-CN"/>
        </w:rPr>
        <w:t xml:space="preserve">Observation 8: PCI unchanged solution only applies to limited scenarios with questionable feasibility, which </w:t>
      </w:r>
      <w:bookmarkStart w:id="4" w:name="_GoBack"/>
      <w:bookmarkEnd w:id="4"/>
      <w:r>
        <w:rPr>
          <w:rFonts w:hint="eastAsia"/>
          <w:b w:val="0"/>
          <w:bCs w:val="0"/>
          <w:i/>
          <w:iCs/>
          <w:lang w:val="en-US" w:eastAsia="zh-CN"/>
        </w:rPr>
        <w:t xml:space="preserve">requires RAN1 study and confirmation. However RAN1 is not involved for mobility enhancements study in R18.  </w:t>
      </w:r>
    </w:p>
    <w:p>
      <w:pPr>
        <w:rPr>
          <w:rFonts w:hint="default"/>
          <w:b/>
          <w:bCs/>
          <w:highlight w:val="none"/>
          <w:lang w:val="en-US" w:eastAsia="zh-CN"/>
        </w:rPr>
      </w:pPr>
      <w:r>
        <w:rPr>
          <w:rFonts w:hint="eastAsia"/>
          <w:b/>
          <w:bCs/>
          <w:highlight w:val="none"/>
          <w:lang w:val="en-US" w:eastAsia="zh-CN"/>
        </w:rPr>
        <w:t>Proposal 5: PCI unchanged is not pursued in R18</w:t>
      </w:r>
    </w:p>
    <w:p>
      <w:pPr>
        <w:bidi w:val="0"/>
        <w:rPr>
          <w:rFonts w:hint="default"/>
          <w:u w:val="single"/>
          <w:lang w:val="en-US" w:eastAsia="zh-CN"/>
        </w:rPr>
      </w:pPr>
      <w:r>
        <w:rPr>
          <w:rFonts w:hint="eastAsia"/>
          <w:u w:val="single"/>
          <w:lang w:val="en-US" w:eastAsia="zh-CN"/>
        </w:rPr>
        <w:t xml:space="preserve">RACH-less HO </w:t>
      </w:r>
    </w:p>
    <w:p>
      <w:pPr>
        <w:rPr>
          <w:rFonts w:hint="default" w:cs="Times New Roman"/>
          <w:b w:val="0"/>
          <w:bCs w:val="0"/>
          <w:i/>
          <w:iCs/>
          <w:sz w:val="20"/>
          <w:szCs w:val="20"/>
          <w:lang w:val="en-US" w:eastAsia="zh-CN"/>
        </w:rPr>
      </w:pPr>
      <w:r>
        <w:rPr>
          <w:rFonts w:hint="eastAsia" w:cs="Times New Roman"/>
          <w:b w:val="0"/>
          <w:bCs w:val="0"/>
          <w:i/>
          <w:iCs/>
          <w:sz w:val="20"/>
          <w:szCs w:val="20"/>
          <w:lang w:val="en-US" w:eastAsia="zh-CN"/>
        </w:rPr>
        <w:t>Observation 9: Reply LS has been received from RAN1 in R1-2212997 indicating RACH-less HO is feasible with proper UL synchronization, which can be obtained by proper NW and UE</w:t>
      </w:r>
      <w:r>
        <w:rPr>
          <w:rFonts w:hint="default" w:cs="Times New Roman"/>
          <w:b w:val="0"/>
          <w:bCs w:val="0"/>
          <w:i/>
          <w:iCs/>
          <w:sz w:val="20"/>
          <w:szCs w:val="20"/>
          <w:lang w:val="en-US" w:eastAsia="zh-CN"/>
        </w:rPr>
        <w:t>’</w:t>
      </w:r>
      <w:r>
        <w:rPr>
          <w:rFonts w:hint="eastAsia" w:cs="Times New Roman"/>
          <w:b w:val="0"/>
          <w:bCs w:val="0"/>
          <w:i/>
          <w:iCs/>
          <w:sz w:val="20"/>
          <w:szCs w:val="20"/>
          <w:lang w:val="en-US" w:eastAsia="zh-CN"/>
        </w:rPr>
        <w:t xml:space="preserve">s implementation. </w:t>
      </w:r>
    </w:p>
    <w:p>
      <w:pPr>
        <w:rPr>
          <w:rFonts w:hint="eastAsia" w:cs="Times New Roman"/>
          <w:b/>
          <w:bCs/>
          <w:sz w:val="20"/>
          <w:szCs w:val="20"/>
          <w:lang w:val="en-US" w:eastAsia="zh-CN"/>
        </w:rPr>
      </w:pPr>
      <w:r>
        <w:rPr>
          <w:rFonts w:hint="eastAsia" w:cs="Times New Roman"/>
          <w:b/>
          <w:bCs/>
          <w:sz w:val="20"/>
          <w:szCs w:val="20"/>
          <w:lang w:val="en-US" w:eastAsia="zh-CN"/>
        </w:rPr>
        <w:t>Proposal 6: RACH-less HO is supported in NTN.</w:t>
      </w:r>
    </w:p>
    <w:p>
      <w:pPr>
        <w:rPr>
          <w:rFonts w:hint="default" w:ascii="Times New Roman" w:hAnsi="Times New Roman" w:cs="Times New Roman"/>
          <w:bCs/>
          <w:kern w:val="0"/>
          <w:sz w:val="20"/>
          <w:szCs w:val="20"/>
        </w:rPr>
      </w:pPr>
    </w:p>
    <w:p>
      <w:pPr>
        <w:pStyle w:val="68"/>
        <w:widowControl/>
        <w:ind w:firstLine="0" w:firstLineChars="0"/>
        <w:jc w:val="left"/>
        <w:rPr>
          <w:rFonts w:ascii="Arial" w:hAnsi="Arial" w:cs="Arial"/>
          <w:b/>
          <w:sz w:val="20"/>
          <w:szCs w:val="20"/>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sectPr>
          <w:headerReference r:id="rId3" w:type="default"/>
          <w:footerReference r:id="rId4" w:type="default"/>
          <w:footerReference r:id="rId5" w:type="even"/>
          <w:pgSz w:w="11906" w:h="16838"/>
          <w:pgMar w:top="1440" w:right="1440" w:bottom="1440" w:left="1417" w:header="851" w:footer="992" w:gutter="0"/>
          <w:cols w:space="720" w:num="1"/>
          <w:docGrid w:type="lines" w:linePitch="312" w:charSpace="0"/>
        </w:sect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r>
        <w:rPr>
          <w:rFonts w:hint="eastAsia" w:ascii="Arial" w:hAnsi="Arial" w:cs="Arial"/>
          <w:b w:val="0"/>
          <w:bCs w:val="0"/>
          <w:kern w:val="0"/>
          <w:sz w:val="32"/>
          <w:szCs w:val="36"/>
          <w:lang w:val="en-US" w:eastAsia="zh-CN"/>
        </w:rPr>
        <w:t xml:space="preserve"> </w:t>
      </w:r>
    </w:p>
    <w:p>
      <w:pPr>
        <w:numPr>
          <w:ilvl w:val="0"/>
          <w:numId w:val="8"/>
        </w:numPr>
        <w:spacing w:before="156"/>
        <w:rPr>
          <w:rFonts w:hint="eastAsia"/>
          <w:color w:val="000000"/>
          <w:sz w:val="22"/>
          <w:szCs w:val="22"/>
          <w:lang w:val="en-US" w:eastAsia="zh-CN"/>
        </w:rPr>
      </w:pPr>
      <w:r>
        <w:rPr>
          <w:rFonts w:hint="eastAsia"/>
          <w:color w:val="000000"/>
          <w:sz w:val="22"/>
          <w:szCs w:val="22"/>
          <w:lang w:val="en-US" w:eastAsia="zh-CN"/>
        </w:rPr>
        <w:t>R2-2213001</w:t>
      </w:r>
      <w:r>
        <w:rPr>
          <w:rFonts w:hint="eastAsia"/>
          <w:color w:val="000000"/>
          <w:sz w:val="22"/>
          <w:szCs w:val="22"/>
          <w:lang w:val="en-US" w:eastAsia="zh-CN"/>
        </w:rPr>
        <w:tab/>
      </w:r>
      <w:r>
        <w:rPr>
          <w:rFonts w:hint="eastAsia"/>
          <w:color w:val="000000"/>
          <w:sz w:val="22"/>
          <w:szCs w:val="22"/>
          <w:lang w:val="en-US" w:eastAsia="zh-CN"/>
        </w:rPr>
        <w:t>Report from Break-Out Session on NTN, IoT NTN, RedCap and CE</w:t>
      </w:r>
      <w:r>
        <w:rPr>
          <w:rFonts w:hint="eastAsia"/>
          <w:color w:val="000000"/>
          <w:sz w:val="22"/>
          <w:szCs w:val="22"/>
          <w:lang w:val="en-US" w:eastAsia="zh-CN"/>
        </w:rPr>
        <w:tab/>
      </w:r>
      <w:r>
        <w:rPr>
          <w:rFonts w:hint="eastAsia"/>
          <w:color w:val="000000"/>
          <w:sz w:val="22"/>
          <w:szCs w:val="22"/>
          <w:lang w:val="en-US" w:eastAsia="zh-CN"/>
        </w:rPr>
        <w:t>Vice Chairman (ZTE)</w:t>
      </w:r>
      <w:r>
        <w:rPr>
          <w:rFonts w:hint="eastAsia"/>
          <w:color w:val="000000"/>
          <w:sz w:val="22"/>
          <w:szCs w:val="22"/>
          <w:lang w:val="en-US" w:eastAsia="zh-CN"/>
        </w:rPr>
        <w:tab/>
      </w:r>
      <w:r>
        <w:rPr>
          <w:rFonts w:hint="eastAsia"/>
          <w:color w:val="000000"/>
          <w:sz w:val="22"/>
          <w:szCs w:val="22"/>
          <w:lang w:val="en-US" w:eastAsia="zh-CN"/>
        </w:rPr>
        <w:t>Report</w:t>
      </w:r>
    </w:p>
    <w:p>
      <w:pPr>
        <w:numPr>
          <w:ilvl w:val="0"/>
          <w:numId w:val="8"/>
        </w:numPr>
        <w:spacing w:before="156"/>
        <w:rPr>
          <w:rFonts w:hint="eastAsia"/>
          <w:color w:val="000000"/>
          <w:sz w:val="22"/>
          <w:szCs w:val="22"/>
          <w:lang w:val="en-US" w:eastAsia="zh-CN"/>
        </w:rPr>
      </w:pPr>
      <w:r>
        <w:rPr>
          <w:rFonts w:hint="eastAsia"/>
          <w:color w:val="000000"/>
          <w:sz w:val="22"/>
          <w:szCs w:val="22"/>
          <w:lang w:val="en-US" w:eastAsia="zh-CN"/>
        </w:rPr>
        <w:t>R2-2300020</w:t>
      </w:r>
      <w:r>
        <w:rPr>
          <w:rFonts w:hint="eastAsia"/>
          <w:color w:val="000000"/>
          <w:sz w:val="22"/>
          <w:szCs w:val="22"/>
          <w:lang w:val="en-US" w:eastAsia="zh-CN"/>
        </w:rPr>
        <w:tab/>
      </w:r>
      <w:r>
        <w:rPr>
          <w:rFonts w:hint="eastAsia"/>
          <w:color w:val="000000"/>
          <w:sz w:val="22"/>
          <w:szCs w:val="22"/>
          <w:lang w:val="en-US" w:eastAsia="zh-CN"/>
        </w:rPr>
        <w:t>Reply LS on RACH-less handover in NTN (R1-2213001; contact: OPPO)</w:t>
      </w:r>
      <w:r>
        <w:rPr>
          <w:rFonts w:hint="eastAsia"/>
          <w:color w:val="000000"/>
          <w:sz w:val="22"/>
          <w:szCs w:val="22"/>
          <w:lang w:val="en-US" w:eastAsia="zh-CN"/>
        </w:rPr>
        <w:tab/>
      </w:r>
      <w:r>
        <w:rPr>
          <w:rFonts w:hint="eastAsia"/>
          <w:color w:val="000000"/>
          <w:sz w:val="22"/>
          <w:szCs w:val="22"/>
          <w:lang w:val="en-US" w:eastAsia="zh-CN"/>
        </w:rPr>
        <w:t>RAN1</w:t>
      </w:r>
    </w:p>
    <w:p>
      <w:pPr>
        <w:numPr>
          <w:numId w:val="0"/>
        </w:numPr>
        <w:spacing w:before="156"/>
        <w:rPr>
          <w:rFonts w:hint="eastAsia"/>
          <w:color w:val="000000"/>
          <w:sz w:val="22"/>
          <w:szCs w:val="22"/>
          <w:lang w:val="en-US" w:eastAsia="zh-CN"/>
        </w:rPr>
      </w:pPr>
    </w:p>
    <w:p>
      <w:pPr>
        <w:rPr>
          <w:rFonts w:hint="default" w:ascii="Times New Roman" w:hAnsi="Times New Roman" w:cs="Times New Roman"/>
          <w:bCs/>
          <w:kern w:val="0"/>
          <w:sz w:val="20"/>
          <w:szCs w:val="20"/>
        </w:rPr>
      </w:pPr>
    </w:p>
    <w:sectPr>
      <w:pgSz w:w="11906" w:h="16838"/>
      <w:pgMar w:top="1440" w:right="1440"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imes">
    <w:altName w:val="Sylfae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3FECC9"/>
    <w:multiLevelType w:val="multilevel"/>
    <w:tmpl w:val="A13FECC9"/>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8016704"/>
    <w:multiLevelType w:val="singleLevel"/>
    <w:tmpl w:val="A8016704"/>
    <w:lvl w:ilvl="0" w:tentative="0">
      <w:start w:val="1"/>
      <w:numFmt w:val="decimal"/>
      <w:lvlText w:val="%1."/>
      <w:lvlJc w:val="left"/>
      <w:pPr>
        <w:ind w:left="425" w:hanging="425"/>
      </w:pPr>
      <w:rPr>
        <w:rFonts w:hint="default"/>
      </w:rPr>
    </w:lvl>
  </w:abstractNum>
  <w:abstractNum w:abstractNumId="2">
    <w:nsid w:val="E24C1B23"/>
    <w:multiLevelType w:val="singleLevel"/>
    <w:tmpl w:val="E24C1B23"/>
    <w:lvl w:ilvl="0" w:tentative="0">
      <w:start w:val="1"/>
      <w:numFmt w:val="bullet"/>
      <w:lvlText w:val=""/>
      <w:lvlJc w:val="left"/>
      <w:pPr>
        <w:tabs>
          <w:tab w:val="left" w:pos="420"/>
        </w:tabs>
        <w:ind w:left="840" w:hanging="420"/>
      </w:pPr>
      <w:rPr>
        <w:rFonts w:hint="default" w:ascii="Wingdings" w:hAnsi="Wingdings"/>
      </w:rPr>
    </w:lvl>
  </w:abstractNum>
  <w:abstractNum w:abstractNumId="3">
    <w:nsid w:val="F4A0E5FF"/>
    <w:multiLevelType w:val="singleLevel"/>
    <w:tmpl w:val="F4A0E5FF"/>
    <w:lvl w:ilvl="0" w:tentative="0">
      <w:start w:val="1"/>
      <w:numFmt w:val="decimal"/>
      <w:suff w:val="space"/>
      <w:lvlText w:val="[%1]"/>
      <w:lvlJc w:val="left"/>
    </w:lvl>
  </w:abstractNum>
  <w:abstractNum w:abstractNumId="4">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5">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37B71DC"/>
    <w:multiLevelType w:val="singleLevel"/>
    <w:tmpl w:val="637B71DC"/>
    <w:lvl w:ilvl="0" w:tentative="0">
      <w:start w:val="1"/>
      <w:numFmt w:val="bullet"/>
      <w:lvlText w:val=""/>
      <w:lvlJc w:val="left"/>
      <w:pPr>
        <w:ind w:left="420" w:hanging="420"/>
      </w:pPr>
      <w:rPr>
        <w:rFonts w:hint="default" w:ascii="Wingdings" w:hAnsi="Wingdings"/>
      </w:rPr>
    </w:lvl>
  </w:abstractNum>
  <w:num w:numId="1">
    <w:abstractNumId w:val="4"/>
  </w:num>
  <w:num w:numId="2">
    <w:abstractNumId w:val="6"/>
  </w:num>
  <w:num w:numId="3">
    <w:abstractNumId w:val="5"/>
  </w:num>
  <w:num w:numId="4">
    <w:abstractNumId w:val="1"/>
  </w:num>
  <w:num w:numId="5">
    <w:abstractNumId w:val="7"/>
  </w:num>
  <w:num w:numId="6">
    <w:abstractNumId w:val="2"/>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1D6A"/>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2B43"/>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81F"/>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6785"/>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40CF"/>
    <w:rsid w:val="000D6228"/>
    <w:rsid w:val="000D6D39"/>
    <w:rsid w:val="000E09FD"/>
    <w:rsid w:val="000E0C43"/>
    <w:rsid w:val="000E1125"/>
    <w:rsid w:val="000E1993"/>
    <w:rsid w:val="000E3B8A"/>
    <w:rsid w:val="000E5499"/>
    <w:rsid w:val="000E58FE"/>
    <w:rsid w:val="000E6390"/>
    <w:rsid w:val="000E7A4B"/>
    <w:rsid w:val="000F0022"/>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4F4"/>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1DA1"/>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319"/>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4F1"/>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5EBF"/>
    <w:rsid w:val="00286D9E"/>
    <w:rsid w:val="0029036D"/>
    <w:rsid w:val="00290E18"/>
    <w:rsid w:val="00291D54"/>
    <w:rsid w:val="00293A6E"/>
    <w:rsid w:val="00295507"/>
    <w:rsid w:val="00295842"/>
    <w:rsid w:val="00296302"/>
    <w:rsid w:val="00297A88"/>
    <w:rsid w:val="00297E40"/>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6DDC"/>
    <w:rsid w:val="002B73AE"/>
    <w:rsid w:val="002C0864"/>
    <w:rsid w:val="002C0F12"/>
    <w:rsid w:val="002C3FF4"/>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264"/>
    <w:rsid w:val="00310544"/>
    <w:rsid w:val="003110B2"/>
    <w:rsid w:val="00311F3D"/>
    <w:rsid w:val="00312C1A"/>
    <w:rsid w:val="00312DD1"/>
    <w:rsid w:val="00313308"/>
    <w:rsid w:val="0031414B"/>
    <w:rsid w:val="00314283"/>
    <w:rsid w:val="003144CA"/>
    <w:rsid w:val="00315418"/>
    <w:rsid w:val="00316470"/>
    <w:rsid w:val="00316E20"/>
    <w:rsid w:val="003171FD"/>
    <w:rsid w:val="00321077"/>
    <w:rsid w:val="00321692"/>
    <w:rsid w:val="00322390"/>
    <w:rsid w:val="003228D4"/>
    <w:rsid w:val="00322E28"/>
    <w:rsid w:val="00322EDB"/>
    <w:rsid w:val="003248F8"/>
    <w:rsid w:val="0032533C"/>
    <w:rsid w:val="003268BB"/>
    <w:rsid w:val="003275E3"/>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42C7"/>
    <w:rsid w:val="003D5DFB"/>
    <w:rsid w:val="003D5F27"/>
    <w:rsid w:val="003D62CC"/>
    <w:rsid w:val="003D6A5E"/>
    <w:rsid w:val="003D7035"/>
    <w:rsid w:val="003D770D"/>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8ED"/>
    <w:rsid w:val="004109CF"/>
    <w:rsid w:val="00411350"/>
    <w:rsid w:val="004123C0"/>
    <w:rsid w:val="00413229"/>
    <w:rsid w:val="00413D6F"/>
    <w:rsid w:val="00414C20"/>
    <w:rsid w:val="00415023"/>
    <w:rsid w:val="00416B5E"/>
    <w:rsid w:val="004175F0"/>
    <w:rsid w:val="00420F17"/>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3FC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5F7"/>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107E"/>
    <w:rsid w:val="0049176F"/>
    <w:rsid w:val="004918AD"/>
    <w:rsid w:val="00492EA5"/>
    <w:rsid w:val="00493247"/>
    <w:rsid w:val="00494AAD"/>
    <w:rsid w:val="00494FC0"/>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3A7"/>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09BB"/>
    <w:rsid w:val="005339E6"/>
    <w:rsid w:val="00534869"/>
    <w:rsid w:val="00534F6A"/>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03A"/>
    <w:rsid w:val="00546957"/>
    <w:rsid w:val="00547409"/>
    <w:rsid w:val="0054755B"/>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38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2C98"/>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1FB"/>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4D7D"/>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308A"/>
    <w:rsid w:val="006D4067"/>
    <w:rsid w:val="006D436D"/>
    <w:rsid w:val="006D4742"/>
    <w:rsid w:val="006D5430"/>
    <w:rsid w:val="006D614B"/>
    <w:rsid w:val="006D63EF"/>
    <w:rsid w:val="006D7C19"/>
    <w:rsid w:val="006D7CA8"/>
    <w:rsid w:val="006D7DC0"/>
    <w:rsid w:val="006E0220"/>
    <w:rsid w:val="006E0863"/>
    <w:rsid w:val="006E1867"/>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5EC6"/>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82C"/>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063"/>
    <w:rsid w:val="0074088F"/>
    <w:rsid w:val="00741230"/>
    <w:rsid w:val="00742659"/>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57A"/>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49AF"/>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C74D0"/>
    <w:rsid w:val="007D1324"/>
    <w:rsid w:val="007D1769"/>
    <w:rsid w:val="007D2587"/>
    <w:rsid w:val="007D36F2"/>
    <w:rsid w:val="007D405E"/>
    <w:rsid w:val="007D4D85"/>
    <w:rsid w:val="007D5695"/>
    <w:rsid w:val="007D59EE"/>
    <w:rsid w:val="007D5A25"/>
    <w:rsid w:val="007E014C"/>
    <w:rsid w:val="007E0813"/>
    <w:rsid w:val="007E0BC6"/>
    <w:rsid w:val="007E0F24"/>
    <w:rsid w:val="007E14CD"/>
    <w:rsid w:val="007E17B1"/>
    <w:rsid w:val="007E27C0"/>
    <w:rsid w:val="007E2BFA"/>
    <w:rsid w:val="007E2EFD"/>
    <w:rsid w:val="007E417F"/>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5891"/>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BB0"/>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680"/>
    <w:rsid w:val="00842AA3"/>
    <w:rsid w:val="00843379"/>
    <w:rsid w:val="008436F0"/>
    <w:rsid w:val="00843DAA"/>
    <w:rsid w:val="00843F40"/>
    <w:rsid w:val="00845DB8"/>
    <w:rsid w:val="00845E4F"/>
    <w:rsid w:val="00846BE0"/>
    <w:rsid w:val="008470CC"/>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8A1"/>
    <w:rsid w:val="008B0FDB"/>
    <w:rsid w:val="008B2AF7"/>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B2"/>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350F"/>
    <w:rsid w:val="008F4502"/>
    <w:rsid w:val="008F45D4"/>
    <w:rsid w:val="008F662A"/>
    <w:rsid w:val="00900370"/>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53C"/>
    <w:rsid w:val="0096081E"/>
    <w:rsid w:val="00960F8E"/>
    <w:rsid w:val="0096137E"/>
    <w:rsid w:val="00961C60"/>
    <w:rsid w:val="00961E92"/>
    <w:rsid w:val="009624E6"/>
    <w:rsid w:val="0096444D"/>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42E6"/>
    <w:rsid w:val="009E619C"/>
    <w:rsid w:val="009E7020"/>
    <w:rsid w:val="009E7045"/>
    <w:rsid w:val="009E748B"/>
    <w:rsid w:val="009F012C"/>
    <w:rsid w:val="009F13FE"/>
    <w:rsid w:val="009F2244"/>
    <w:rsid w:val="009F2E2F"/>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FF9"/>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6B27"/>
    <w:rsid w:val="00A5709E"/>
    <w:rsid w:val="00A57120"/>
    <w:rsid w:val="00A57123"/>
    <w:rsid w:val="00A5714F"/>
    <w:rsid w:val="00A6046D"/>
    <w:rsid w:val="00A6050B"/>
    <w:rsid w:val="00A612B9"/>
    <w:rsid w:val="00A624EA"/>
    <w:rsid w:val="00A63ABE"/>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616"/>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A7BF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1FEF"/>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6B5F"/>
    <w:rsid w:val="00B07968"/>
    <w:rsid w:val="00B07B19"/>
    <w:rsid w:val="00B10FBA"/>
    <w:rsid w:val="00B110E2"/>
    <w:rsid w:val="00B1189C"/>
    <w:rsid w:val="00B12666"/>
    <w:rsid w:val="00B126DA"/>
    <w:rsid w:val="00B1296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0C22"/>
    <w:rsid w:val="00B615E7"/>
    <w:rsid w:val="00B61C12"/>
    <w:rsid w:val="00B6271A"/>
    <w:rsid w:val="00B6394A"/>
    <w:rsid w:val="00B6403B"/>
    <w:rsid w:val="00B64ABB"/>
    <w:rsid w:val="00B65BF6"/>
    <w:rsid w:val="00B66A64"/>
    <w:rsid w:val="00B66F1C"/>
    <w:rsid w:val="00B670CE"/>
    <w:rsid w:val="00B67B79"/>
    <w:rsid w:val="00B67E74"/>
    <w:rsid w:val="00B70262"/>
    <w:rsid w:val="00B716F8"/>
    <w:rsid w:val="00B7192C"/>
    <w:rsid w:val="00B72319"/>
    <w:rsid w:val="00B72EF4"/>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2A1C"/>
    <w:rsid w:val="00BE3213"/>
    <w:rsid w:val="00BE42CB"/>
    <w:rsid w:val="00BE6162"/>
    <w:rsid w:val="00BE6C9C"/>
    <w:rsid w:val="00BE6E9E"/>
    <w:rsid w:val="00BE6FC3"/>
    <w:rsid w:val="00BF0409"/>
    <w:rsid w:val="00BF0497"/>
    <w:rsid w:val="00BF0850"/>
    <w:rsid w:val="00BF08F6"/>
    <w:rsid w:val="00BF092B"/>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5767A"/>
    <w:rsid w:val="00C60064"/>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116B"/>
    <w:rsid w:val="00C82D97"/>
    <w:rsid w:val="00C83318"/>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1A9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3F75"/>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299"/>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1C36"/>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6A3B"/>
    <w:rsid w:val="00DE7478"/>
    <w:rsid w:val="00DF1FCE"/>
    <w:rsid w:val="00DF2709"/>
    <w:rsid w:val="00DF2CBF"/>
    <w:rsid w:val="00DF3BA1"/>
    <w:rsid w:val="00DF3CCE"/>
    <w:rsid w:val="00DF3FDD"/>
    <w:rsid w:val="00DF4CBC"/>
    <w:rsid w:val="00DF5370"/>
    <w:rsid w:val="00DF597F"/>
    <w:rsid w:val="00DF5E74"/>
    <w:rsid w:val="00DF6452"/>
    <w:rsid w:val="00DF6682"/>
    <w:rsid w:val="00DF6CC6"/>
    <w:rsid w:val="00DF7DED"/>
    <w:rsid w:val="00E0032E"/>
    <w:rsid w:val="00E0074D"/>
    <w:rsid w:val="00E007CD"/>
    <w:rsid w:val="00E0205D"/>
    <w:rsid w:val="00E03B13"/>
    <w:rsid w:val="00E03BE1"/>
    <w:rsid w:val="00E04060"/>
    <w:rsid w:val="00E0458A"/>
    <w:rsid w:val="00E048C6"/>
    <w:rsid w:val="00E06B20"/>
    <w:rsid w:val="00E0737F"/>
    <w:rsid w:val="00E1018A"/>
    <w:rsid w:val="00E10C7D"/>
    <w:rsid w:val="00E1155D"/>
    <w:rsid w:val="00E120F4"/>
    <w:rsid w:val="00E121B5"/>
    <w:rsid w:val="00E1226F"/>
    <w:rsid w:val="00E125F6"/>
    <w:rsid w:val="00E127C3"/>
    <w:rsid w:val="00E14C1A"/>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06D5"/>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040F"/>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18B3"/>
    <w:rsid w:val="00F429C0"/>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666"/>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AE0"/>
    <w:rsid w:val="00F96BAD"/>
    <w:rsid w:val="00F96C66"/>
    <w:rsid w:val="00F971E1"/>
    <w:rsid w:val="00F97D27"/>
    <w:rsid w:val="00FA20BF"/>
    <w:rsid w:val="00FA2F06"/>
    <w:rsid w:val="00FA34B5"/>
    <w:rsid w:val="00FA4FB5"/>
    <w:rsid w:val="00FA532D"/>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6B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B3BDF"/>
    <w:rsid w:val="019D4B3D"/>
    <w:rsid w:val="019F0207"/>
    <w:rsid w:val="01A02944"/>
    <w:rsid w:val="01A7517B"/>
    <w:rsid w:val="01A87132"/>
    <w:rsid w:val="01B354EB"/>
    <w:rsid w:val="01B409B2"/>
    <w:rsid w:val="01D02B7A"/>
    <w:rsid w:val="01D857EB"/>
    <w:rsid w:val="01DC451F"/>
    <w:rsid w:val="01DF6FE0"/>
    <w:rsid w:val="01E05D9F"/>
    <w:rsid w:val="01E2625D"/>
    <w:rsid w:val="01E4753D"/>
    <w:rsid w:val="01E6243E"/>
    <w:rsid w:val="01EB1953"/>
    <w:rsid w:val="01F6071A"/>
    <w:rsid w:val="02102D34"/>
    <w:rsid w:val="02105BCC"/>
    <w:rsid w:val="0213188C"/>
    <w:rsid w:val="02345B88"/>
    <w:rsid w:val="023B3250"/>
    <w:rsid w:val="02402B3C"/>
    <w:rsid w:val="02437D3E"/>
    <w:rsid w:val="024B45DB"/>
    <w:rsid w:val="02523498"/>
    <w:rsid w:val="026C0249"/>
    <w:rsid w:val="02746E99"/>
    <w:rsid w:val="02793CF5"/>
    <w:rsid w:val="027F11AC"/>
    <w:rsid w:val="028470E8"/>
    <w:rsid w:val="028A6146"/>
    <w:rsid w:val="028E3AD6"/>
    <w:rsid w:val="02907E51"/>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612BFA"/>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136A6F"/>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41673"/>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7693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A7F8A"/>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7184E"/>
    <w:rsid w:val="0F0939B9"/>
    <w:rsid w:val="0F0E6CDB"/>
    <w:rsid w:val="0F2C59E9"/>
    <w:rsid w:val="0F3A2C70"/>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C53E40"/>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1452D"/>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5C6348"/>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CC7E17"/>
    <w:rsid w:val="13D75C00"/>
    <w:rsid w:val="13E00116"/>
    <w:rsid w:val="13E30B7D"/>
    <w:rsid w:val="13ED04A7"/>
    <w:rsid w:val="13F24E08"/>
    <w:rsid w:val="13F92B2E"/>
    <w:rsid w:val="13FE1C03"/>
    <w:rsid w:val="1402132F"/>
    <w:rsid w:val="14074EC8"/>
    <w:rsid w:val="140947EE"/>
    <w:rsid w:val="142373DC"/>
    <w:rsid w:val="14243098"/>
    <w:rsid w:val="142903E8"/>
    <w:rsid w:val="143357DB"/>
    <w:rsid w:val="1446122E"/>
    <w:rsid w:val="144A0D85"/>
    <w:rsid w:val="145A1D5A"/>
    <w:rsid w:val="145E73FE"/>
    <w:rsid w:val="146C12BB"/>
    <w:rsid w:val="14791CE3"/>
    <w:rsid w:val="148C237F"/>
    <w:rsid w:val="14A06FC1"/>
    <w:rsid w:val="14AC0D94"/>
    <w:rsid w:val="14AD5060"/>
    <w:rsid w:val="14B94964"/>
    <w:rsid w:val="14BB3A1F"/>
    <w:rsid w:val="14C8749C"/>
    <w:rsid w:val="14D969A6"/>
    <w:rsid w:val="14E306F6"/>
    <w:rsid w:val="14E61747"/>
    <w:rsid w:val="14E73F02"/>
    <w:rsid w:val="1502097B"/>
    <w:rsid w:val="152044E9"/>
    <w:rsid w:val="15337D09"/>
    <w:rsid w:val="153C211B"/>
    <w:rsid w:val="153C7063"/>
    <w:rsid w:val="15513899"/>
    <w:rsid w:val="155D0A7F"/>
    <w:rsid w:val="15684240"/>
    <w:rsid w:val="156F1C12"/>
    <w:rsid w:val="15784F72"/>
    <w:rsid w:val="1580763A"/>
    <w:rsid w:val="1586427B"/>
    <w:rsid w:val="15967E8D"/>
    <w:rsid w:val="159A07D2"/>
    <w:rsid w:val="159C63AC"/>
    <w:rsid w:val="15AA7739"/>
    <w:rsid w:val="15B82FBA"/>
    <w:rsid w:val="15BC4B29"/>
    <w:rsid w:val="15BE1C46"/>
    <w:rsid w:val="15C06260"/>
    <w:rsid w:val="15CA0DC6"/>
    <w:rsid w:val="15DD4A1C"/>
    <w:rsid w:val="15E90584"/>
    <w:rsid w:val="160321ED"/>
    <w:rsid w:val="160A0813"/>
    <w:rsid w:val="16263368"/>
    <w:rsid w:val="163103EC"/>
    <w:rsid w:val="163E496F"/>
    <w:rsid w:val="16401FC7"/>
    <w:rsid w:val="16597670"/>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12432"/>
    <w:rsid w:val="18CB7663"/>
    <w:rsid w:val="18CC5CF8"/>
    <w:rsid w:val="18CD0844"/>
    <w:rsid w:val="18D45411"/>
    <w:rsid w:val="18D63AE2"/>
    <w:rsid w:val="18F8655D"/>
    <w:rsid w:val="18FE2979"/>
    <w:rsid w:val="19057478"/>
    <w:rsid w:val="190E7C32"/>
    <w:rsid w:val="19115DDD"/>
    <w:rsid w:val="19160144"/>
    <w:rsid w:val="191F38B0"/>
    <w:rsid w:val="19216787"/>
    <w:rsid w:val="19237700"/>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D2271"/>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920C4A"/>
    <w:rsid w:val="1AA91D4F"/>
    <w:rsid w:val="1AB14FC0"/>
    <w:rsid w:val="1AB203D4"/>
    <w:rsid w:val="1AB77836"/>
    <w:rsid w:val="1AC94D1F"/>
    <w:rsid w:val="1ACE7057"/>
    <w:rsid w:val="1AD6153D"/>
    <w:rsid w:val="1ADA55B5"/>
    <w:rsid w:val="1ADC1643"/>
    <w:rsid w:val="1ADF0AC1"/>
    <w:rsid w:val="1AED219F"/>
    <w:rsid w:val="1AED2C11"/>
    <w:rsid w:val="1AF03D83"/>
    <w:rsid w:val="1B094BB4"/>
    <w:rsid w:val="1B0E04C0"/>
    <w:rsid w:val="1B0E27E5"/>
    <w:rsid w:val="1B192659"/>
    <w:rsid w:val="1B193B18"/>
    <w:rsid w:val="1B341EBA"/>
    <w:rsid w:val="1B3B5A5B"/>
    <w:rsid w:val="1B400993"/>
    <w:rsid w:val="1B4A340F"/>
    <w:rsid w:val="1B4B16C4"/>
    <w:rsid w:val="1B512965"/>
    <w:rsid w:val="1B5514DD"/>
    <w:rsid w:val="1B7051A5"/>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03368C"/>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4587E"/>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3438F"/>
    <w:rsid w:val="22156802"/>
    <w:rsid w:val="221B45D7"/>
    <w:rsid w:val="22273871"/>
    <w:rsid w:val="22291678"/>
    <w:rsid w:val="223A1D76"/>
    <w:rsid w:val="2243324F"/>
    <w:rsid w:val="224F005B"/>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50900"/>
    <w:rsid w:val="2397295F"/>
    <w:rsid w:val="23976015"/>
    <w:rsid w:val="239F4DB2"/>
    <w:rsid w:val="23B21CC7"/>
    <w:rsid w:val="23BC1A29"/>
    <w:rsid w:val="23E863E8"/>
    <w:rsid w:val="23EF6864"/>
    <w:rsid w:val="23F2753E"/>
    <w:rsid w:val="240B1BA7"/>
    <w:rsid w:val="241B3778"/>
    <w:rsid w:val="242244CF"/>
    <w:rsid w:val="242714EC"/>
    <w:rsid w:val="243A6DF4"/>
    <w:rsid w:val="244B4209"/>
    <w:rsid w:val="24560AE2"/>
    <w:rsid w:val="24671C47"/>
    <w:rsid w:val="24794836"/>
    <w:rsid w:val="248C391F"/>
    <w:rsid w:val="249700EF"/>
    <w:rsid w:val="24996D32"/>
    <w:rsid w:val="24AF0519"/>
    <w:rsid w:val="24BC444C"/>
    <w:rsid w:val="24C16FF5"/>
    <w:rsid w:val="24D21B16"/>
    <w:rsid w:val="24EB0386"/>
    <w:rsid w:val="24EE205A"/>
    <w:rsid w:val="24FE54BC"/>
    <w:rsid w:val="25005E1F"/>
    <w:rsid w:val="2502385F"/>
    <w:rsid w:val="25031E33"/>
    <w:rsid w:val="25066118"/>
    <w:rsid w:val="250B6210"/>
    <w:rsid w:val="25132546"/>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DC5B4C"/>
    <w:rsid w:val="25E242BB"/>
    <w:rsid w:val="25E31A54"/>
    <w:rsid w:val="25E540FF"/>
    <w:rsid w:val="25E93B02"/>
    <w:rsid w:val="25EB3B02"/>
    <w:rsid w:val="25F07927"/>
    <w:rsid w:val="25F629AF"/>
    <w:rsid w:val="25F8089C"/>
    <w:rsid w:val="25FE3FFD"/>
    <w:rsid w:val="260354A1"/>
    <w:rsid w:val="260A2AFA"/>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224EF"/>
    <w:rsid w:val="27A449A7"/>
    <w:rsid w:val="27AE7395"/>
    <w:rsid w:val="27B24E9C"/>
    <w:rsid w:val="27BC433E"/>
    <w:rsid w:val="27CE139A"/>
    <w:rsid w:val="27E25E49"/>
    <w:rsid w:val="27E63AB6"/>
    <w:rsid w:val="27F231DD"/>
    <w:rsid w:val="27F469FF"/>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001A0"/>
    <w:rsid w:val="29AC7F64"/>
    <w:rsid w:val="29B025A4"/>
    <w:rsid w:val="29B223D3"/>
    <w:rsid w:val="29B5714B"/>
    <w:rsid w:val="29B82AFC"/>
    <w:rsid w:val="29CA6918"/>
    <w:rsid w:val="29CD5CFE"/>
    <w:rsid w:val="29DC6F28"/>
    <w:rsid w:val="29F101FE"/>
    <w:rsid w:val="29F83E3A"/>
    <w:rsid w:val="29FC0A34"/>
    <w:rsid w:val="2A065B82"/>
    <w:rsid w:val="2A132AC9"/>
    <w:rsid w:val="2A16029F"/>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C2EE3"/>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5D4A64"/>
    <w:rsid w:val="2D696E27"/>
    <w:rsid w:val="2D90109D"/>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45DBB"/>
    <w:rsid w:val="31DF176C"/>
    <w:rsid w:val="31E8134E"/>
    <w:rsid w:val="31F45A41"/>
    <w:rsid w:val="31FF4B7E"/>
    <w:rsid w:val="320A13F1"/>
    <w:rsid w:val="3211002E"/>
    <w:rsid w:val="322914C7"/>
    <w:rsid w:val="323A5F58"/>
    <w:rsid w:val="3246575B"/>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01F6E"/>
    <w:rsid w:val="3386250E"/>
    <w:rsid w:val="338E28FE"/>
    <w:rsid w:val="33970214"/>
    <w:rsid w:val="339B48EC"/>
    <w:rsid w:val="33AE1F3D"/>
    <w:rsid w:val="33B42B28"/>
    <w:rsid w:val="33B44D6A"/>
    <w:rsid w:val="33B541C9"/>
    <w:rsid w:val="33C40914"/>
    <w:rsid w:val="33CE61A0"/>
    <w:rsid w:val="33E201D4"/>
    <w:rsid w:val="33E75242"/>
    <w:rsid w:val="33EE348F"/>
    <w:rsid w:val="33F20139"/>
    <w:rsid w:val="33F90BAA"/>
    <w:rsid w:val="33FB7E97"/>
    <w:rsid w:val="341101EA"/>
    <w:rsid w:val="341D0440"/>
    <w:rsid w:val="341E68F1"/>
    <w:rsid w:val="342105B8"/>
    <w:rsid w:val="34217FBA"/>
    <w:rsid w:val="3439248A"/>
    <w:rsid w:val="343B56C9"/>
    <w:rsid w:val="3446442E"/>
    <w:rsid w:val="344A237C"/>
    <w:rsid w:val="344C6F16"/>
    <w:rsid w:val="346C064E"/>
    <w:rsid w:val="346C77B6"/>
    <w:rsid w:val="34717DC6"/>
    <w:rsid w:val="347C176C"/>
    <w:rsid w:val="3487701B"/>
    <w:rsid w:val="349738A7"/>
    <w:rsid w:val="349E4B46"/>
    <w:rsid w:val="34A55B39"/>
    <w:rsid w:val="34A96C6F"/>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C67CEC"/>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8B0628"/>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57E30"/>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9C5849"/>
    <w:rsid w:val="3BA87780"/>
    <w:rsid w:val="3BAF72C4"/>
    <w:rsid w:val="3BB11956"/>
    <w:rsid w:val="3BB43E16"/>
    <w:rsid w:val="3BB605E3"/>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A7515"/>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31D8A"/>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B979B4"/>
    <w:rsid w:val="3DCB24A6"/>
    <w:rsid w:val="3DCC1E7E"/>
    <w:rsid w:val="3DD4374A"/>
    <w:rsid w:val="3DDD29A0"/>
    <w:rsid w:val="3DE15919"/>
    <w:rsid w:val="3DE976C2"/>
    <w:rsid w:val="3DF90482"/>
    <w:rsid w:val="3DF95EC3"/>
    <w:rsid w:val="3DFA4B38"/>
    <w:rsid w:val="3DFE5953"/>
    <w:rsid w:val="3E143687"/>
    <w:rsid w:val="3E175EBE"/>
    <w:rsid w:val="3E2C005F"/>
    <w:rsid w:val="3E325D1E"/>
    <w:rsid w:val="3E3976D3"/>
    <w:rsid w:val="3E4905DE"/>
    <w:rsid w:val="3E4C0877"/>
    <w:rsid w:val="3E6A15A8"/>
    <w:rsid w:val="3E6B7465"/>
    <w:rsid w:val="3E707A7A"/>
    <w:rsid w:val="3E735B9C"/>
    <w:rsid w:val="3E7C330F"/>
    <w:rsid w:val="3E820130"/>
    <w:rsid w:val="3E8558DB"/>
    <w:rsid w:val="3E892D0A"/>
    <w:rsid w:val="3E9164DD"/>
    <w:rsid w:val="3EA07325"/>
    <w:rsid w:val="3EB2263C"/>
    <w:rsid w:val="3EC17934"/>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750B9"/>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4786E"/>
    <w:rsid w:val="404558DE"/>
    <w:rsid w:val="404855D8"/>
    <w:rsid w:val="407A57A2"/>
    <w:rsid w:val="407E558E"/>
    <w:rsid w:val="40807689"/>
    <w:rsid w:val="40814873"/>
    <w:rsid w:val="40834587"/>
    <w:rsid w:val="408F1529"/>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73C7A"/>
    <w:rsid w:val="41783809"/>
    <w:rsid w:val="418B104E"/>
    <w:rsid w:val="41930993"/>
    <w:rsid w:val="41A545C8"/>
    <w:rsid w:val="41A86359"/>
    <w:rsid w:val="41AA5A16"/>
    <w:rsid w:val="41AA6FCA"/>
    <w:rsid w:val="41B77440"/>
    <w:rsid w:val="41C52353"/>
    <w:rsid w:val="41CC3927"/>
    <w:rsid w:val="41D00D55"/>
    <w:rsid w:val="41EA61EE"/>
    <w:rsid w:val="42013392"/>
    <w:rsid w:val="42090CEC"/>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849B6"/>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830A6E"/>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DE6F85"/>
    <w:rsid w:val="44EE6174"/>
    <w:rsid w:val="44EF1836"/>
    <w:rsid w:val="44F6488D"/>
    <w:rsid w:val="44FC2960"/>
    <w:rsid w:val="45026AC6"/>
    <w:rsid w:val="45044A12"/>
    <w:rsid w:val="450874C4"/>
    <w:rsid w:val="45123B46"/>
    <w:rsid w:val="45282A9A"/>
    <w:rsid w:val="452B6A1A"/>
    <w:rsid w:val="45334A20"/>
    <w:rsid w:val="453711EE"/>
    <w:rsid w:val="453C14B9"/>
    <w:rsid w:val="4548010A"/>
    <w:rsid w:val="45481632"/>
    <w:rsid w:val="455238CA"/>
    <w:rsid w:val="4589448D"/>
    <w:rsid w:val="45A9516E"/>
    <w:rsid w:val="45C86987"/>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1B6A79"/>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14E8A"/>
    <w:rsid w:val="49E52DCB"/>
    <w:rsid w:val="49EB1CD3"/>
    <w:rsid w:val="49FD72F4"/>
    <w:rsid w:val="49FF7393"/>
    <w:rsid w:val="4A01196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640F1"/>
    <w:rsid w:val="4C572817"/>
    <w:rsid w:val="4C5A1583"/>
    <w:rsid w:val="4C6241E3"/>
    <w:rsid w:val="4C6369A7"/>
    <w:rsid w:val="4C644BBF"/>
    <w:rsid w:val="4C653585"/>
    <w:rsid w:val="4C6C14CD"/>
    <w:rsid w:val="4C6C224A"/>
    <w:rsid w:val="4C787DD0"/>
    <w:rsid w:val="4C7C366B"/>
    <w:rsid w:val="4C7D636D"/>
    <w:rsid w:val="4C873E85"/>
    <w:rsid w:val="4C8E3A1F"/>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944FF"/>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2B59D9"/>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CB2105"/>
    <w:rsid w:val="4FDF029D"/>
    <w:rsid w:val="4FE76145"/>
    <w:rsid w:val="4FF92635"/>
    <w:rsid w:val="500C6791"/>
    <w:rsid w:val="50151C34"/>
    <w:rsid w:val="50194853"/>
    <w:rsid w:val="50250986"/>
    <w:rsid w:val="502C6FDC"/>
    <w:rsid w:val="503C1ED5"/>
    <w:rsid w:val="503C1FA1"/>
    <w:rsid w:val="503C4DDA"/>
    <w:rsid w:val="503C72D7"/>
    <w:rsid w:val="503D204E"/>
    <w:rsid w:val="505E14C8"/>
    <w:rsid w:val="50621D1D"/>
    <w:rsid w:val="50660A6D"/>
    <w:rsid w:val="506C5899"/>
    <w:rsid w:val="50730E54"/>
    <w:rsid w:val="50731582"/>
    <w:rsid w:val="509A2E32"/>
    <w:rsid w:val="509F5FAB"/>
    <w:rsid w:val="50B51267"/>
    <w:rsid w:val="50D0779D"/>
    <w:rsid w:val="50D66339"/>
    <w:rsid w:val="50E2253E"/>
    <w:rsid w:val="50FD0E66"/>
    <w:rsid w:val="510B565B"/>
    <w:rsid w:val="51120212"/>
    <w:rsid w:val="51144DFE"/>
    <w:rsid w:val="511869DC"/>
    <w:rsid w:val="512D39B1"/>
    <w:rsid w:val="512E1A85"/>
    <w:rsid w:val="513779D9"/>
    <w:rsid w:val="513D3E59"/>
    <w:rsid w:val="51482EA1"/>
    <w:rsid w:val="5149740B"/>
    <w:rsid w:val="514E06C0"/>
    <w:rsid w:val="515446E1"/>
    <w:rsid w:val="5155290A"/>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20A4"/>
    <w:rsid w:val="54A6767D"/>
    <w:rsid w:val="54AC2B6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33371"/>
    <w:rsid w:val="55F82D46"/>
    <w:rsid w:val="55FC62A2"/>
    <w:rsid w:val="55FE05F9"/>
    <w:rsid w:val="560C6075"/>
    <w:rsid w:val="561153A0"/>
    <w:rsid w:val="56162164"/>
    <w:rsid w:val="56362315"/>
    <w:rsid w:val="563C1BB1"/>
    <w:rsid w:val="563E05D4"/>
    <w:rsid w:val="564546A3"/>
    <w:rsid w:val="564F7F5F"/>
    <w:rsid w:val="56520CBC"/>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9B0942"/>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36AB7"/>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41DFA"/>
    <w:rsid w:val="5BB60E07"/>
    <w:rsid w:val="5BB85E2E"/>
    <w:rsid w:val="5BBC15CD"/>
    <w:rsid w:val="5BC154FF"/>
    <w:rsid w:val="5BCE1DEC"/>
    <w:rsid w:val="5BF84A18"/>
    <w:rsid w:val="5BF86102"/>
    <w:rsid w:val="5C066946"/>
    <w:rsid w:val="5C0D0B5B"/>
    <w:rsid w:val="5C1A1CC6"/>
    <w:rsid w:val="5C1B653E"/>
    <w:rsid w:val="5C1F1314"/>
    <w:rsid w:val="5C213896"/>
    <w:rsid w:val="5C244D0A"/>
    <w:rsid w:val="5C251B6A"/>
    <w:rsid w:val="5C2950BA"/>
    <w:rsid w:val="5C3077B3"/>
    <w:rsid w:val="5C3B38FA"/>
    <w:rsid w:val="5C4417DA"/>
    <w:rsid w:val="5C4616A2"/>
    <w:rsid w:val="5C5872CD"/>
    <w:rsid w:val="5C723D2D"/>
    <w:rsid w:val="5C7D6E15"/>
    <w:rsid w:val="5C855E55"/>
    <w:rsid w:val="5C8F5D08"/>
    <w:rsid w:val="5CB97502"/>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6B1DD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3E6102"/>
    <w:rsid w:val="5F417E0E"/>
    <w:rsid w:val="5F4A55C6"/>
    <w:rsid w:val="5F4B3D65"/>
    <w:rsid w:val="5F5938BD"/>
    <w:rsid w:val="5F5A0BD2"/>
    <w:rsid w:val="5F6930D0"/>
    <w:rsid w:val="5F6A388F"/>
    <w:rsid w:val="5F702AE8"/>
    <w:rsid w:val="5F716DED"/>
    <w:rsid w:val="5F744282"/>
    <w:rsid w:val="5F7543B4"/>
    <w:rsid w:val="5F756921"/>
    <w:rsid w:val="5F800749"/>
    <w:rsid w:val="5F8A2AF4"/>
    <w:rsid w:val="5FAA4EB2"/>
    <w:rsid w:val="5FBF3FC2"/>
    <w:rsid w:val="5FC40B48"/>
    <w:rsid w:val="5FC41F4F"/>
    <w:rsid w:val="5FD80461"/>
    <w:rsid w:val="5FDF1EF7"/>
    <w:rsid w:val="5FE93E1D"/>
    <w:rsid w:val="5FF529AA"/>
    <w:rsid w:val="60022F17"/>
    <w:rsid w:val="60084D6A"/>
    <w:rsid w:val="601023F1"/>
    <w:rsid w:val="601375A8"/>
    <w:rsid w:val="601A78CB"/>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B6BBC"/>
    <w:rsid w:val="614F7714"/>
    <w:rsid w:val="614F79E9"/>
    <w:rsid w:val="615F1CAE"/>
    <w:rsid w:val="615F2167"/>
    <w:rsid w:val="615F7D6A"/>
    <w:rsid w:val="616048EE"/>
    <w:rsid w:val="61653414"/>
    <w:rsid w:val="61775B03"/>
    <w:rsid w:val="61787C76"/>
    <w:rsid w:val="617D2724"/>
    <w:rsid w:val="618C04FE"/>
    <w:rsid w:val="6192024E"/>
    <w:rsid w:val="61DE1F1F"/>
    <w:rsid w:val="61E26CFA"/>
    <w:rsid w:val="61F155B4"/>
    <w:rsid w:val="620058CC"/>
    <w:rsid w:val="62010932"/>
    <w:rsid w:val="62175873"/>
    <w:rsid w:val="621A07C5"/>
    <w:rsid w:val="621A2AEC"/>
    <w:rsid w:val="621D3DE0"/>
    <w:rsid w:val="62204A9C"/>
    <w:rsid w:val="623D3F36"/>
    <w:rsid w:val="624C7A06"/>
    <w:rsid w:val="624D069F"/>
    <w:rsid w:val="625A3A2B"/>
    <w:rsid w:val="62641E35"/>
    <w:rsid w:val="628B380A"/>
    <w:rsid w:val="62A86AE4"/>
    <w:rsid w:val="62B6094A"/>
    <w:rsid w:val="62CE4E0F"/>
    <w:rsid w:val="62DF20A9"/>
    <w:rsid w:val="62E54C39"/>
    <w:rsid w:val="62EB578C"/>
    <w:rsid w:val="62F167F5"/>
    <w:rsid w:val="62FE5AC6"/>
    <w:rsid w:val="630C3AE7"/>
    <w:rsid w:val="63325CEE"/>
    <w:rsid w:val="633B4110"/>
    <w:rsid w:val="634D5A29"/>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0D29"/>
    <w:rsid w:val="65E9248D"/>
    <w:rsid w:val="65EF7DFF"/>
    <w:rsid w:val="6613354E"/>
    <w:rsid w:val="66200813"/>
    <w:rsid w:val="662032A0"/>
    <w:rsid w:val="66322707"/>
    <w:rsid w:val="664A2B0B"/>
    <w:rsid w:val="665225B6"/>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2F5BE0"/>
    <w:rsid w:val="6A4F5866"/>
    <w:rsid w:val="6A556559"/>
    <w:rsid w:val="6A57578E"/>
    <w:rsid w:val="6A5A6AB0"/>
    <w:rsid w:val="6A6825EC"/>
    <w:rsid w:val="6A6E653E"/>
    <w:rsid w:val="6A753D8D"/>
    <w:rsid w:val="6A776BFB"/>
    <w:rsid w:val="6A90701E"/>
    <w:rsid w:val="6A9B3AED"/>
    <w:rsid w:val="6AA02844"/>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07CE2"/>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71D22"/>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75B5A"/>
    <w:rsid w:val="6ECA5A5F"/>
    <w:rsid w:val="6ED70B19"/>
    <w:rsid w:val="6EE70B21"/>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9A0FE4"/>
    <w:rsid w:val="70A23903"/>
    <w:rsid w:val="70A36B91"/>
    <w:rsid w:val="70AB660C"/>
    <w:rsid w:val="70B4157B"/>
    <w:rsid w:val="70D01533"/>
    <w:rsid w:val="70D3493E"/>
    <w:rsid w:val="70D76741"/>
    <w:rsid w:val="70E00AE5"/>
    <w:rsid w:val="70EE6A09"/>
    <w:rsid w:val="7105718F"/>
    <w:rsid w:val="710A3270"/>
    <w:rsid w:val="710F45F3"/>
    <w:rsid w:val="711819F0"/>
    <w:rsid w:val="712913E3"/>
    <w:rsid w:val="71306252"/>
    <w:rsid w:val="71364608"/>
    <w:rsid w:val="713C7C54"/>
    <w:rsid w:val="716621C1"/>
    <w:rsid w:val="717065C7"/>
    <w:rsid w:val="71926EEE"/>
    <w:rsid w:val="71A167E4"/>
    <w:rsid w:val="71A46C3A"/>
    <w:rsid w:val="71A53C39"/>
    <w:rsid w:val="71AB5F8A"/>
    <w:rsid w:val="71B04DD0"/>
    <w:rsid w:val="71B07710"/>
    <w:rsid w:val="71B24E95"/>
    <w:rsid w:val="71B63CA1"/>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CE7946"/>
    <w:rsid w:val="74D67798"/>
    <w:rsid w:val="74D87365"/>
    <w:rsid w:val="74DF4168"/>
    <w:rsid w:val="75111A9D"/>
    <w:rsid w:val="752650AE"/>
    <w:rsid w:val="752D306B"/>
    <w:rsid w:val="753022BE"/>
    <w:rsid w:val="75311E23"/>
    <w:rsid w:val="753B6E3D"/>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203EB"/>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6640CA"/>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5387"/>
    <w:rsid w:val="7DF076CD"/>
    <w:rsid w:val="7E03513B"/>
    <w:rsid w:val="7E145B78"/>
    <w:rsid w:val="7E1625A8"/>
    <w:rsid w:val="7E1E5DFA"/>
    <w:rsid w:val="7E45572A"/>
    <w:rsid w:val="7E4F3EE6"/>
    <w:rsid w:val="7E525688"/>
    <w:rsid w:val="7E5358A2"/>
    <w:rsid w:val="7E57165F"/>
    <w:rsid w:val="7E5C5F01"/>
    <w:rsid w:val="7E72494E"/>
    <w:rsid w:val="7E811934"/>
    <w:rsid w:val="7E8F6B16"/>
    <w:rsid w:val="7E961378"/>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D409B"/>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99"/>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99"/>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99"/>
    <w:pPr>
      <w:numPr>
        <w:ilvl w:val="2"/>
        <w:numId w:val="1"/>
      </w:numPr>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99"/>
    <w:rPr>
      <w:b/>
      <w:bCs/>
      <w:kern w:val="44"/>
      <w:sz w:val="44"/>
      <w:szCs w:val="44"/>
    </w:rPr>
  </w:style>
  <w:style w:type="character" w:customStyle="1" w:styleId="71">
    <w:name w:val="标题 2 Char"/>
    <w:basedOn w:val="58"/>
    <w:link w:val="3"/>
    <w:qFormat/>
    <w:uiPriority w:val="99"/>
    <w:rPr>
      <w:rFonts w:ascii="Arial" w:hAnsi="Arial" w:eastAsia="MS Mincho"/>
      <w:sz w:val="32"/>
      <w:szCs w:val="32"/>
      <w:lang w:val="en-GB"/>
    </w:rPr>
  </w:style>
  <w:style w:type="character" w:customStyle="1" w:styleId="72">
    <w:name w:val="标题 3 Char"/>
    <w:basedOn w:val="58"/>
    <w:link w:val="4"/>
    <w:qFormat/>
    <w:uiPriority w:val="99"/>
    <w:rPr>
      <w:rFonts w:ascii="Arial" w:hAnsi="Arial" w:eastAsia="MS Mincho"/>
      <w:b/>
      <w:bCs/>
      <w:sz w:val="32"/>
      <w:szCs w:val="32"/>
      <w:lang w:val="en-GB"/>
    </w:rPr>
  </w:style>
  <w:style w:type="character" w:customStyle="1" w:styleId="73">
    <w:name w:val="标题 4 Char"/>
    <w:basedOn w:val="58"/>
    <w:link w:val="5"/>
    <w:qFormat/>
    <w:uiPriority w:val="0"/>
    <w:rPr>
      <w:rFonts w:ascii="Arial" w:hAnsi="Arial" w:eastAsia="黑体"/>
      <w:b/>
      <w:bCs/>
      <w:sz w:val="28"/>
      <w:szCs w:val="32"/>
      <w:lang w:val="en-GB"/>
    </w:rPr>
  </w:style>
  <w:style w:type="character" w:customStyle="1" w:styleId="74">
    <w:name w:val="标题 5 Char"/>
    <w:basedOn w:val="58"/>
    <w:link w:val="6"/>
    <w:qFormat/>
    <w:uiPriority w:val="0"/>
    <w:rPr>
      <w:rFonts w:ascii="Arial" w:hAnsi="Arial" w:eastAsia="黑体"/>
      <w:b/>
      <w:bCs/>
      <w:sz w:val="28"/>
      <w:szCs w:val="32"/>
      <w:lang w:val="en-GB"/>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link w:val="2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PL Char"/>
    <w:link w:val="246"/>
    <w:qFormat/>
    <w:uiPriority w:val="0"/>
    <w:rPr>
      <w:rFonts w:ascii="Courier New" w:hAnsi="Courier New" w:eastAsia="MS Mincho"/>
      <w:sz w:val="16"/>
      <w:lang w:eastAsia="en-US"/>
    </w:rPr>
  </w:style>
  <w:style w:type="table" w:customStyle="1" w:styleId="284">
    <w:name w:val="清单表 31"/>
    <w:basedOn w:val="56"/>
    <w:qFormat/>
    <w:uiPriority w:val="48"/>
    <w:tblPr>
      <w:tblBorders>
        <w:top w:val="single" w:color="008ED3" w:themeColor="text1" w:sz="4" w:space="0"/>
        <w:left w:val="single" w:color="008ED3" w:themeColor="text1" w:sz="4" w:space="0"/>
        <w:bottom w:val="single" w:color="008ED3" w:themeColor="text1" w:sz="4" w:space="0"/>
        <w:right w:val="single" w:color="008ED3" w:themeColor="text1" w:sz="4" w:space="0"/>
      </w:tblBorders>
    </w:tblPr>
    <w:tblStylePr w:type="firstRow">
      <w:rPr>
        <w:b/>
        <w:bCs/>
        <w:color w:val="FFFFFF" w:themeColor="background1"/>
        <w14:textFill>
          <w14:solidFill>
            <w14:schemeClr w14:val="bg1"/>
          </w14:solidFill>
        </w14:textFill>
      </w:rPr>
      <w:tcPr>
        <w:shd w:val="clear" w:color="auto" w:fill="008ED3" w:themeFill="text1"/>
      </w:tcPr>
    </w:tblStylePr>
    <w:tblStylePr w:type="lastRow">
      <w:rPr>
        <w:b/>
        <w:bCs/>
      </w:rPr>
      <w:tcPr>
        <w:tcBorders>
          <w:top w:val="double" w:color="008ED3"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8ED3" w:themeColor="text1" w:sz="4" w:space="0"/>
          <w:right w:val="single" w:color="008ED3" w:themeColor="text1" w:sz="4" w:space="0"/>
        </w:tcBorders>
      </w:tcPr>
    </w:tblStylePr>
    <w:tblStylePr w:type="band1Horz">
      <w:tcPr>
        <w:tcBorders>
          <w:top w:val="single" w:color="008ED3" w:themeColor="text1" w:sz="4" w:space="0"/>
          <w:bottom w:val="single" w:color="008ED3"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8ED3" w:themeColor="text1" w:sz="4" w:space="0"/>
          <w:left w:val="nil"/>
        </w:tcBorders>
      </w:tcPr>
    </w:tblStylePr>
    <w:tblStylePr w:type="swCell">
      <w:tcPr>
        <w:tcBorders>
          <w:top w:val="double" w:color="008ED3" w:themeColor="text1" w:sz="4" w:space="0"/>
          <w:right w:val="nil"/>
        </w:tcBorders>
      </w:tcPr>
    </w:tblStylePr>
  </w:style>
  <w:style w:type="table" w:customStyle="1" w:styleId="285">
    <w:name w:val="清单表 3 - 着色 51"/>
    <w:basedOn w:val="56"/>
    <w:qFormat/>
    <w:uiPriority w:val="48"/>
    <w:tblPr>
      <w:tblBorders>
        <w:top w:val="single" w:color="8DC642" w:themeColor="accent5" w:sz="4" w:space="0"/>
        <w:left w:val="single" w:color="8DC642" w:themeColor="accent5" w:sz="4" w:space="0"/>
        <w:bottom w:val="single" w:color="8DC642" w:themeColor="accent5" w:sz="4" w:space="0"/>
        <w:right w:val="single" w:color="8DC642" w:themeColor="accent5" w:sz="4" w:space="0"/>
      </w:tblBorders>
    </w:tblPr>
    <w:tblStylePr w:type="firstRow">
      <w:rPr>
        <w:b/>
        <w:bCs/>
        <w:color w:val="FFFFFF" w:themeColor="background1"/>
        <w14:textFill>
          <w14:solidFill>
            <w14:schemeClr w14:val="bg1"/>
          </w14:solidFill>
        </w14:textFill>
      </w:rPr>
      <w:tcPr>
        <w:shd w:val="clear" w:color="auto" w:fill="8DC642" w:themeFill="accent5"/>
      </w:tcPr>
    </w:tblStylePr>
    <w:tblStylePr w:type="lastRow">
      <w:rPr>
        <w:b/>
        <w:bCs/>
      </w:rPr>
      <w:tcPr>
        <w:tcBorders>
          <w:top w:val="double" w:color="8DC642"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C642" w:themeColor="accent5" w:sz="4" w:space="0"/>
          <w:right w:val="single" w:color="8DC642" w:themeColor="accent5" w:sz="4" w:space="0"/>
        </w:tcBorders>
      </w:tcPr>
    </w:tblStylePr>
    <w:tblStylePr w:type="band1Horz">
      <w:tcPr>
        <w:tcBorders>
          <w:top w:val="single" w:color="8DC642" w:themeColor="accent5" w:sz="4" w:space="0"/>
          <w:bottom w:val="single" w:color="8DC642"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C642" w:themeColor="accent5" w:sz="4" w:space="0"/>
          <w:left w:val="nil"/>
        </w:tcBorders>
      </w:tcPr>
    </w:tblStylePr>
    <w:tblStylePr w:type="swCell">
      <w:tcPr>
        <w:tcBorders>
          <w:top w:val="double" w:color="8DC642" w:themeColor="accent5" w:sz="4" w:space="0"/>
          <w:right w:val="nil"/>
        </w:tcBorders>
      </w:tcPr>
    </w:tblStylePr>
  </w:style>
  <w:style w:type="table" w:customStyle="1" w:styleId="286">
    <w:name w:val="网格表 3 - 着色 21"/>
    <w:basedOn w:val="56"/>
    <w:qFormat/>
    <w:uiPriority w:val="48"/>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FF4FB" w:themeFill="accent2" w:themeFillTint="33"/>
      </w:tcPr>
    </w:tblStylePr>
    <w:tblStylePr w:type="band1Horz">
      <w:tcPr>
        <w:shd w:val="clear" w:color="auto" w:fill="DFF4FB" w:themeFill="accent2" w:themeFillTint="33"/>
      </w:tcPr>
    </w:tblStylePr>
    <w:tblStylePr w:type="neCell">
      <w:tcPr>
        <w:tcBorders>
          <w:bottom w:val="single" w:color="A0E0F5" w:themeColor="accent2" w:themeTint="99" w:sz="4" w:space="0"/>
        </w:tcBorders>
      </w:tcPr>
    </w:tblStylePr>
    <w:tblStylePr w:type="nwCell">
      <w:tcPr>
        <w:tcBorders>
          <w:bottom w:val="single" w:color="A0E0F5" w:themeColor="accent2" w:themeTint="99" w:sz="4" w:space="0"/>
        </w:tcBorders>
      </w:tcPr>
    </w:tblStylePr>
    <w:tblStylePr w:type="seCell">
      <w:tcPr>
        <w:tcBorders>
          <w:top w:val="single" w:color="A0E0F5" w:themeColor="accent2" w:themeTint="99" w:sz="4" w:space="0"/>
        </w:tcBorders>
      </w:tcPr>
    </w:tblStylePr>
    <w:tblStylePr w:type="swCell">
      <w:tcPr>
        <w:tcBorders>
          <w:top w:val="single" w:color="A0E0F5" w:themeColor="accent2" w:themeTint="99" w:sz="4" w:space="0"/>
        </w:tcBorders>
      </w:tcPr>
    </w:tblStylePr>
  </w:style>
  <w:style w:type="table" w:customStyle="1" w:styleId="287">
    <w:name w:val="网格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insideV w:val="nil"/>
        </w:tcBorders>
        <w:shd w:val="clear" w:color="auto" w:fill="008ED3" w:themeFill="text1"/>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288">
    <w:name w:val="清单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tcBorders>
        <w:shd w:val="clear" w:color="auto" w:fill="61CCF0" w:themeFill="accent2"/>
      </w:tcPr>
    </w:tblStylePr>
    <w:tblStylePr w:type="lastRow">
      <w:rPr>
        <w:b/>
        <w:bCs/>
      </w:rPr>
      <w:tcPr>
        <w:tcBorders>
          <w:top w:val="double" w:color="A0E0F5" w:themeColor="accent2" w:themeTint="99"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89">
    <w:name w:val="网格表 1 浅色 - 着色 61"/>
    <w:basedOn w:val="56"/>
    <w:qFormat/>
    <w:uiPriority w:val="46"/>
    <w:tblPr>
      <w:tblBorders>
        <w:top w:val="single" w:color="BBBCBD" w:themeColor="accent6" w:themeTint="66" w:sz="4" w:space="0"/>
        <w:left w:val="single" w:color="BBBCBD" w:themeColor="accent6" w:themeTint="66" w:sz="4" w:space="0"/>
        <w:bottom w:val="single" w:color="BBBCBD" w:themeColor="accent6" w:themeTint="66" w:sz="4" w:space="0"/>
        <w:right w:val="single" w:color="BBBCBD" w:themeColor="accent6" w:themeTint="66" w:sz="4" w:space="0"/>
        <w:insideH w:val="single" w:color="BBBCBD" w:themeColor="accent6" w:themeTint="66" w:sz="4" w:space="0"/>
        <w:insideV w:val="single" w:color="BBBCBD" w:themeColor="accent6" w:themeTint="66" w:sz="4" w:space="0"/>
      </w:tblBorders>
    </w:tblPr>
    <w:tblStylePr w:type="firstRow">
      <w:rPr>
        <w:b/>
        <w:bCs/>
      </w:rPr>
      <w:tcPr>
        <w:tcBorders>
          <w:bottom w:val="single" w:color="9A9B9D" w:themeColor="accent6" w:themeTint="99" w:sz="12" w:space="0"/>
        </w:tcBorders>
      </w:tcPr>
    </w:tblStylePr>
    <w:tblStylePr w:type="lastRow">
      <w:rPr>
        <w:b/>
        <w:bCs/>
      </w:rPr>
      <w:tcPr>
        <w:tcBorders>
          <w:top w:val="double" w:color="9A9B9D" w:themeColor="accent6" w:themeTint="99" w:sz="2" w:space="0"/>
        </w:tcBorders>
      </w:tcPr>
    </w:tblStylePr>
    <w:tblStylePr w:type="firstCol">
      <w:rPr>
        <w:b/>
        <w:bCs/>
      </w:rPr>
    </w:tblStylePr>
    <w:tblStylePr w:type="lastCol">
      <w:rPr>
        <w:b/>
        <w:bCs/>
      </w:rPr>
    </w:tblStylePr>
  </w:style>
  <w:style w:type="table" w:customStyle="1" w:styleId="290">
    <w:name w:val="网格表 1 浅色 - 着色 21"/>
    <w:basedOn w:val="56"/>
    <w:qFormat/>
    <w:uiPriority w:val="46"/>
    <w:tblPr>
      <w:tblBorders>
        <w:top w:val="single" w:color="BFEAF8" w:themeColor="accent2" w:themeTint="66" w:sz="4" w:space="0"/>
        <w:left w:val="single" w:color="BFEAF8" w:themeColor="accent2" w:themeTint="66" w:sz="4" w:space="0"/>
        <w:bottom w:val="single" w:color="BFEAF8" w:themeColor="accent2" w:themeTint="66" w:sz="4" w:space="0"/>
        <w:right w:val="single" w:color="BFEAF8" w:themeColor="accent2" w:themeTint="66" w:sz="4" w:space="0"/>
        <w:insideH w:val="single" w:color="BFEAF8" w:themeColor="accent2" w:themeTint="66" w:sz="4" w:space="0"/>
        <w:insideV w:val="single" w:color="BFEAF8" w:themeColor="accent2" w:themeTint="66" w:sz="4" w:space="0"/>
      </w:tblBorders>
    </w:tblPr>
    <w:tblStylePr w:type="firstRow">
      <w:rPr>
        <w:b/>
        <w:bCs/>
      </w:rPr>
      <w:tcPr>
        <w:tcBorders>
          <w:bottom w:val="single" w:color="A0E0F5" w:themeColor="accent2" w:themeTint="99" w:sz="12" w:space="0"/>
        </w:tcBorders>
      </w:tcPr>
    </w:tblStylePr>
    <w:tblStylePr w:type="lastRow">
      <w:rPr>
        <w:b/>
        <w:bCs/>
      </w:rPr>
      <w:tcPr>
        <w:tcBorders>
          <w:top w:val="double" w:color="A0E0F5" w:themeColor="accent2" w:themeTint="99" w:sz="2" w:space="0"/>
        </w:tcBorders>
      </w:tcPr>
    </w:tblStylePr>
    <w:tblStylePr w:type="firstCol">
      <w:rPr>
        <w:b/>
        <w:bCs/>
      </w:rPr>
    </w:tblStylePr>
    <w:tblStylePr w:type="lastCol">
      <w:rPr>
        <w:b/>
        <w:bCs/>
      </w:rPr>
    </w:tblStylePr>
  </w:style>
  <w:style w:type="table" w:customStyle="1" w:styleId="291">
    <w:name w:val="网格表 31"/>
    <w:basedOn w:val="56"/>
    <w:qFormat/>
    <w:uiPriority w:val="48"/>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bottom w:val="single" w:color="4BC4FF" w:themeColor="text1" w:themeTint="99" w:sz="4" w:space="0"/>
        </w:tcBorders>
      </w:tcPr>
    </w:tblStylePr>
    <w:tblStylePr w:type="nwCell">
      <w:tcPr>
        <w:tcBorders>
          <w:bottom w:val="single" w:color="4BC4FF" w:themeColor="text1" w:themeTint="99" w:sz="4" w:space="0"/>
        </w:tcBorders>
      </w:tcPr>
    </w:tblStylePr>
    <w:tblStylePr w:type="seCell">
      <w:tcPr>
        <w:tcBorders>
          <w:top w:val="single" w:color="4BC4FF" w:themeColor="text1" w:themeTint="99" w:sz="4" w:space="0"/>
        </w:tcBorders>
      </w:tcPr>
    </w:tblStylePr>
    <w:tblStylePr w:type="swCell">
      <w:tcPr>
        <w:tcBorders>
          <w:top w:val="single" w:color="4BC4FF" w:themeColor="text1" w:themeTint="99" w:sz="4" w:space="0"/>
        </w:tcBorders>
      </w:tcPr>
    </w:tblStylePr>
  </w:style>
  <w:style w:type="table" w:customStyle="1" w:styleId="292">
    <w:name w:val="网格表 4 - 着色 61"/>
    <w:basedOn w:val="56"/>
    <w:qFormat/>
    <w:uiPriority w:val="49"/>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color w:val="FFFFFF" w:themeColor="background1"/>
        <w14:textFill>
          <w14:solidFill>
            <w14:schemeClr w14:val="bg1"/>
          </w14:solidFill>
        </w14:textFill>
      </w:rPr>
      <w:tcPr>
        <w:tcBorders>
          <w:top w:val="single" w:color="58595B" w:themeColor="accent6" w:sz="4" w:space="0"/>
          <w:left w:val="single" w:color="58595B" w:themeColor="accent6" w:sz="4" w:space="0"/>
          <w:bottom w:val="single" w:color="58595B" w:themeColor="accent6" w:sz="4" w:space="0"/>
          <w:right w:val="single" w:color="58595B" w:themeColor="accent6" w:sz="4" w:space="0"/>
          <w:insideH w:val="nil"/>
          <w:insideV w:val="nil"/>
        </w:tcBorders>
        <w:shd w:val="clear" w:color="auto" w:fill="58595B" w:themeFill="accent6"/>
      </w:tcPr>
    </w:tblStylePr>
    <w:tblStylePr w:type="lastRow">
      <w:rPr>
        <w:b/>
        <w:bCs/>
      </w:rPr>
      <w:tcPr>
        <w:tcBorders>
          <w:top w:val="double" w:color="58595B" w:themeColor="accent6" w:sz="4" w:space="0"/>
        </w:tcBorders>
      </w:tcPr>
    </w:tblStylePr>
    <w:tblStylePr w:type="firstCol">
      <w:rPr>
        <w:b/>
        <w:bCs/>
      </w:rPr>
    </w:tblStylePr>
    <w:tblStylePr w:type="lastCol">
      <w:rPr>
        <w:b/>
        <w:bCs/>
      </w:rPr>
    </w:tblStylePr>
    <w:tblStylePr w:type="band1Vert">
      <w:tcPr>
        <w:shd w:val="clear" w:color="auto" w:fill="DDDDDE" w:themeFill="accent6" w:themeFillTint="33"/>
      </w:tcPr>
    </w:tblStylePr>
    <w:tblStylePr w:type="band1Horz">
      <w:tcPr>
        <w:shd w:val="clear" w:color="auto" w:fill="DDDDDE" w:themeFill="accent6" w:themeFillTint="33"/>
      </w:tcPr>
    </w:tblStylePr>
  </w:style>
  <w:style w:type="table" w:customStyle="1" w:styleId="293">
    <w:name w:val="网格表 5 深色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3EBFF"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8ED3"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8ED3"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8ED3"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8ED3" w:themeFill="text1"/>
      </w:tcPr>
    </w:tblStylePr>
    <w:tblStylePr w:type="band1Vert">
      <w:tcPr>
        <w:shd w:val="clear" w:color="auto" w:fill="87D7FF" w:themeFill="text1" w:themeFillTint="66"/>
      </w:tcPr>
    </w:tblStylePr>
    <w:tblStylePr w:type="band1Horz">
      <w:tcPr>
        <w:shd w:val="clear" w:color="auto" w:fill="87D7FF" w:themeFill="text1" w:themeFillTint="66"/>
      </w:tcPr>
    </w:tblStylePr>
  </w:style>
  <w:style w:type="table" w:customStyle="1" w:styleId="294">
    <w:name w:val="网格表 5 深色 - 着色 2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4F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1CCF0"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1CCF0"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1CCF0"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1CCF0" w:themeFill="accent2"/>
      </w:tcPr>
    </w:tblStylePr>
    <w:tblStylePr w:type="band1Vert">
      <w:tcPr>
        <w:shd w:val="clear" w:color="auto" w:fill="BFEAF8" w:themeFill="accent2" w:themeFillTint="66"/>
      </w:tcPr>
    </w:tblStylePr>
    <w:tblStylePr w:type="band1Horz">
      <w:tcPr>
        <w:shd w:val="clear" w:color="auto" w:fill="BFEAF8" w:themeFill="accent2" w:themeFillTint="66"/>
      </w:tcPr>
    </w:tblStylePr>
  </w:style>
  <w:style w:type="table" w:customStyle="1" w:styleId="295">
    <w:name w:val="清单表 5 深色1"/>
    <w:basedOn w:val="56"/>
    <w:qFormat/>
    <w:uiPriority w:val="50"/>
    <w:rPr>
      <w:color w:val="FFFFFF" w:themeColor="background1"/>
      <w14:textFill>
        <w14:solidFill>
          <w14:schemeClr w14:val="bg1"/>
        </w14:solidFill>
      </w14:textFill>
    </w:rPr>
    <w:tblPr>
      <w:tblBorders>
        <w:top w:val="single" w:color="008ED3" w:themeColor="text1" w:sz="24" w:space="0"/>
        <w:left w:val="single" w:color="008ED3" w:themeColor="text1" w:sz="24" w:space="0"/>
        <w:bottom w:val="single" w:color="008ED3" w:themeColor="text1" w:sz="24" w:space="0"/>
        <w:right w:val="single" w:color="008ED3" w:themeColor="text1" w:sz="24" w:space="0"/>
      </w:tblBorders>
    </w:tblPr>
    <w:tcPr>
      <w:shd w:val="clear" w:color="auto" w:fill="008ED3"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清单表 7 彩色1"/>
    <w:basedOn w:val="56"/>
    <w:qFormat/>
    <w:uiPriority w:val="52"/>
    <w:rPr>
      <w:color w:val="008ED3"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8ED3"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8ED3"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8ED3"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8ED3" w:themeColor="text1" w:sz="4" w:space="0"/>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7">
    <w:name w:val="网格表 4 - 着色 41"/>
    <w:basedOn w:val="56"/>
    <w:qFormat/>
    <w:uiPriority w:val="49"/>
    <w:tblPr>
      <w:tblBorders>
        <w:top w:val="single" w:color="D467D2" w:themeColor="accent4" w:themeTint="99" w:sz="4" w:space="0"/>
        <w:left w:val="single" w:color="D467D2" w:themeColor="accent4" w:themeTint="99" w:sz="4" w:space="0"/>
        <w:bottom w:val="single" w:color="D467D2" w:themeColor="accent4" w:themeTint="99" w:sz="4" w:space="0"/>
        <w:right w:val="single" w:color="D467D2" w:themeColor="accent4" w:themeTint="99" w:sz="4" w:space="0"/>
        <w:insideH w:val="single" w:color="D467D2" w:themeColor="accent4" w:themeTint="99" w:sz="4" w:space="0"/>
        <w:insideV w:val="single" w:color="D467D2" w:themeColor="accent4" w:themeTint="99" w:sz="4" w:space="0"/>
      </w:tblBorders>
    </w:tblPr>
    <w:tblStylePr w:type="firstRow">
      <w:rPr>
        <w:b/>
        <w:bCs/>
        <w:color w:val="FFFFFF" w:themeColor="background1"/>
        <w14:textFill>
          <w14:solidFill>
            <w14:schemeClr w14:val="bg1"/>
          </w14:solidFill>
        </w14:textFill>
      </w:rPr>
      <w:tcPr>
        <w:tcBorders>
          <w:top w:val="single" w:color="922990" w:themeColor="accent4" w:sz="4" w:space="0"/>
          <w:left w:val="single" w:color="922990" w:themeColor="accent4" w:sz="4" w:space="0"/>
          <w:bottom w:val="single" w:color="922990" w:themeColor="accent4" w:sz="4" w:space="0"/>
          <w:right w:val="single" w:color="922990" w:themeColor="accent4" w:sz="4" w:space="0"/>
          <w:insideH w:val="nil"/>
          <w:insideV w:val="nil"/>
        </w:tcBorders>
        <w:shd w:val="clear" w:color="auto" w:fill="922990" w:themeFill="accent4"/>
      </w:tcPr>
    </w:tblStylePr>
    <w:tblStylePr w:type="lastRow">
      <w:rPr>
        <w:b/>
        <w:bCs/>
      </w:rPr>
      <w:tcPr>
        <w:tcBorders>
          <w:top w:val="double" w:color="922990" w:themeColor="accent4" w:sz="4" w:space="0"/>
        </w:tcBorders>
      </w:tcPr>
    </w:tblStylePr>
    <w:tblStylePr w:type="firstCol">
      <w:rPr>
        <w:b/>
        <w:bCs/>
      </w:rPr>
    </w:tblStylePr>
    <w:tblStylePr w:type="lastCol">
      <w:rPr>
        <w:b/>
        <w:bCs/>
      </w:rPr>
    </w:tblStylePr>
    <w:tblStylePr w:type="band1Vert">
      <w:tcPr>
        <w:shd w:val="clear" w:color="auto" w:fill="F0CCF0" w:themeFill="accent4" w:themeFillTint="33"/>
      </w:tcPr>
    </w:tblStylePr>
    <w:tblStylePr w:type="band1Horz">
      <w:tcPr>
        <w:shd w:val="clear" w:color="auto" w:fill="F0CCF0" w:themeFill="accent4" w:themeFillTint="33"/>
      </w:tcPr>
    </w:tblStylePr>
  </w:style>
  <w:style w:type="table" w:customStyle="1" w:styleId="298">
    <w:name w:val="网格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insideV w:val="nil"/>
        </w:tcBorders>
        <w:shd w:val="clear" w:color="auto" w:fill="61CCF0" w:themeFill="accent2"/>
      </w:tcPr>
    </w:tblStylePr>
    <w:tblStylePr w:type="lastRow">
      <w:rPr>
        <w:b/>
        <w:bCs/>
      </w:rPr>
      <w:tcPr>
        <w:tcBorders>
          <w:top w:val="double" w:color="61CCF0" w:themeColor="accent2"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99">
    <w:name w:val="清单表 3 - 着色 61"/>
    <w:basedOn w:val="56"/>
    <w:qFormat/>
    <w:uiPriority w:val="48"/>
    <w:tblPr>
      <w:tblBorders>
        <w:top w:val="single" w:color="58595B" w:themeColor="accent6" w:sz="4" w:space="0"/>
        <w:left w:val="single" w:color="58595B" w:themeColor="accent6" w:sz="4" w:space="0"/>
        <w:bottom w:val="single" w:color="58595B" w:themeColor="accent6" w:sz="4" w:space="0"/>
        <w:right w:val="single" w:color="58595B" w:themeColor="accent6" w:sz="4" w:space="0"/>
      </w:tblBorders>
    </w:tblPr>
    <w:tblStylePr w:type="firstRow">
      <w:rPr>
        <w:b/>
        <w:bCs/>
        <w:color w:val="FFFFFF" w:themeColor="background1"/>
        <w14:textFill>
          <w14:solidFill>
            <w14:schemeClr w14:val="bg1"/>
          </w14:solidFill>
        </w14:textFill>
      </w:rPr>
      <w:tcPr>
        <w:shd w:val="clear" w:color="auto" w:fill="58595B" w:themeFill="accent6"/>
      </w:tcPr>
    </w:tblStylePr>
    <w:tblStylePr w:type="lastRow">
      <w:rPr>
        <w:b/>
        <w:bCs/>
      </w:rPr>
      <w:tcPr>
        <w:tcBorders>
          <w:top w:val="double" w:color="58595B"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8595B" w:themeColor="accent6" w:sz="4" w:space="0"/>
          <w:right w:val="single" w:color="58595B" w:themeColor="accent6" w:sz="4" w:space="0"/>
        </w:tcBorders>
      </w:tcPr>
    </w:tblStylePr>
    <w:tblStylePr w:type="band1Horz">
      <w:tcPr>
        <w:tcBorders>
          <w:top w:val="single" w:color="58595B" w:themeColor="accent6" w:sz="4" w:space="0"/>
          <w:bottom w:val="single" w:color="58595B"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8595B" w:themeColor="accent6" w:sz="4" w:space="0"/>
          <w:left w:val="nil"/>
        </w:tcBorders>
      </w:tcPr>
    </w:tblStylePr>
    <w:tblStylePr w:type="swCell">
      <w:tcPr>
        <w:tcBorders>
          <w:top w:val="double" w:color="58595B" w:themeColor="accent6" w:sz="4" w:space="0"/>
          <w:right w:val="nil"/>
        </w:tcBorders>
      </w:tcPr>
    </w:tblStylePr>
  </w:style>
  <w:style w:type="table" w:customStyle="1" w:styleId="300">
    <w:name w:val="清单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tcBorders>
        <w:shd w:val="clear" w:color="auto" w:fill="008ED3" w:themeFill="text1"/>
      </w:tcPr>
    </w:tblStylePr>
    <w:tblStylePr w:type="lastRow">
      <w:rPr>
        <w:b/>
        <w:bCs/>
      </w:rPr>
      <w:tcPr>
        <w:tcBorders>
          <w:top w:val="double" w:color="4BC4FF" w:themeColor="text1" w:themeTint="99"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301">
    <w:name w:val="网格表 7 彩色 - 着色 61"/>
    <w:basedOn w:val="56"/>
    <w:qFormat/>
    <w:uiPriority w:val="52"/>
    <w:rPr>
      <w:color w:val="424344" w:themeColor="accent6" w:themeShade="BF"/>
    </w:rPr>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DDDDE" w:themeFill="accent6" w:themeFillTint="33"/>
      </w:tcPr>
    </w:tblStylePr>
    <w:tblStylePr w:type="band1Horz">
      <w:tcPr>
        <w:shd w:val="clear" w:color="auto" w:fill="DDDDDE" w:themeFill="accent6" w:themeFillTint="33"/>
      </w:tcPr>
    </w:tblStylePr>
    <w:tblStylePr w:type="neCell">
      <w:tcPr>
        <w:tcBorders>
          <w:bottom w:val="single" w:color="9A9B9D" w:themeColor="accent6" w:themeTint="99" w:sz="4" w:space="0"/>
        </w:tcBorders>
      </w:tcPr>
    </w:tblStylePr>
    <w:tblStylePr w:type="nwCell">
      <w:tcPr>
        <w:tcBorders>
          <w:bottom w:val="single" w:color="9A9B9D" w:themeColor="accent6" w:themeTint="99" w:sz="4" w:space="0"/>
        </w:tcBorders>
      </w:tcPr>
    </w:tblStylePr>
    <w:tblStylePr w:type="seCell">
      <w:tcPr>
        <w:tcBorders>
          <w:top w:val="single" w:color="9A9B9D" w:themeColor="accent6" w:themeTint="99" w:sz="4" w:space="0"/>
        </w:tcBorders>
      </w:tcPr>
    </w:tblStylePr>
    <w:tblStylePr w:type="swCell">
      <w:tcPr>
        <w:tcBorders>
          <w:top w:val="single" w:color="9A9B9D" w:themeColor="accent6" w:themeTint="99" w:sz="4" w:space="0"/>
        </w:tcBorders>
      </w:tcPr>
    </w:tblStylePr>
  </w:style>
  <w:style w:type="table" w:customStyle="1" w:styleId="302">
    <w:name w:val="网格表 5 深色 - 着色 5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3D9"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C642"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C642"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C642"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C642" w:themeFill="accent5"/>
      </w:tcPr>
    </w:tblStylePr>
    <w:tblStylePr w:type="band1Vert">
      <w:tcPr>
        <w:shd w:val="clear" w:color="auto" w:fill="D1E8B3" w:themeFill="accent5" w:themeFillTint="66"/>
      </w:tcPr>
    </w:tblStylePr>
    <w:tblStylePr w:type="band1Horz">
      <w:tcPr>
        <w:shd w:val="clear" w:color="auto" w:fill="D1E8B3" w:themeFill="accent5" w:themeFillTint="66"/>
      </w:tcPr>
    </w:tblStylePr>
  </w:style>
  <w:style w:type="table" w:customStyle="1" w:styleId="303">
    <w:name w:val="清单表 6 彩色1"/>
    <w:basedOn w:val="56"/>
    <w:qFormat/>
    <w:uiPriority w:val="51"/>
    <w:rPr>
      <w:color w:val="008ED3" w:themeColor="text1"/>
      <w14:textFill>
        <w14:solidFill>
          <w14:schemeClr w14:val="tx1"/>
        </w14:solidFill>
      </w14:textFill>
    </w:rPr>
    <w:tblPr>
      <w:tblBorders>
        <w:top w:val="single" w:color="008ED3" w:themeColor="text1" w:sz="4" w:space="0"/>
        <w:bottom w:val="single" w:color="008ED3" w:themeColor="text1" w:sz="4" w:space="0"/>
      </w:tblBorders>
    </w:tblPr>
    <w:tblStylePr w:type="firstRow">
      <w:rPr>
        <w:b/>
        <w:bCs/>
      </w:rPr>
      <w:tcPr>
        <w:tcBorders>
          <w:bottom w:val="single" w:color="008ED3" w:themeColor="text1" w:sz="4" w:space="0"/>
        </w:tcBorders>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paragraph" w:customStyle="1" w:styleId="30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05">
    <w:name w:val="列出段落1"/>
    <w:basedOn w:val="1"/>
    <w:semiHidden/>
    <w:qFormat/>
    <w:uiPriority w:val="0"/>
    <w:pPr>
      <w:spacing w:before="100" w:beforeAutospacing="1" w:line="256" w:lineRule="auto"/>
      <w:ind w:firstLine="420" w:firstLineChars="200"/>
    </w:pPr>
    <w:rPr>
      <w:rFonts w:eastAsia="宋体"/>
      <w:szCs w:val="21"/>
    </w:rPr>
  </w:style>
  <w:style w:type="table" w:customStyle="1" w:styleId="306">
    <w:name w:val="网格表 4 - 着色 51"/>
    <w:basedOn w:val="56"/>
    <w:qFormat/>
    <w:uiPriority w:val="0"/>
    <w:rPr>
      <w:rFonts w:eastAsia="Times New Roman"/>
    </w:rPr>
    <w:tblPr>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Pr>
    <w:tblStylePr w:type="firstRow">
      <w:rPr>
        <w:rFonts w:hint="default" w:ascii="Times New Roman" w:hAnsi="Times New Roman" w:cs="Times New Roman"/>
        <w:b/>
        <w:bCs/>
        <w:color w:val="FFFFFF"/>
      </w:rPr>
      <w:tcPr>
        <w:tcBorders>
          <w:top w:val="single" w:color="8DC642" w:sz="4" w:space="0"/>
          <w:left w:val="single" w:color="8DC642" w:sz="4" w:space="0"/>
          <w:bottom w:val="single" w:color="8DC642" w:sz="4" w:space="0"/>
          <w:right w:val="single" w:color="8DC642" w:sz="4" w:space="0"/>
          <w:insideH w:val="nil"/>
          <w:insideV w:val="nil"/>
        </w:tcBorders>
        <w:shd w:val="clear" w:color="auto" w:fill="8DC642"/>
      </w:tcPr>
    </w:tblStylePr>
    <w:tblStylePr w:type="lastRow">
      <w:rPr>
        <w:rFonts w:hint="default" w:ascii="Times New Roman" w:hAnsi="Times New Roman" w:cs="Times New Roman"/>
        <w:b/>
        <w:bCs/>
      </w:rPr>
      <w:tcPr>
        <w:tcBorders>
          <w:top w:val="double" w:color="8DC642" w:sz="2"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tcPr>
        <w:shd w:val="clear" w:color="auto" w:fill="E8F3D9"/>
      </w:tcPr>
    </w:tblStylePr>
    <w:tblStylePr w:type="band1Horz">
      <w:tcPr>
        <w:shd w:val="clear" w:color="auto" w:fill="E8F3D9"/>
      </w:tcPr>
    </w:tblStyle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F48645-FD4D-4884-AB22-F1CD3AD58FA6}">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5</Pages>
  <Words>1424</Words>
  <Characters>8119</Characters>
  <Lines>67</Lines>
  <Paragraphs>19</Paragraphs>
  <TotalTime>3</TotalTime>
  <ScaleCrop>false</ScaleCrop>
  <LinksUpToDate>false</LinksUpToDate>
  <CharactersWithSpaces>9524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2022-11-03T12:00:00Z</dcterms:created>
  <dc:creator>10033860</dc:creator>
  <cp:lastModifiedBy>ZTE(Zhihong)</cp:lastModifiedBy>
  <cp:lastPrinted>2113-01-01T00:00:00Z</cp:lastPrinted>
  <dcterms:modified xsi:type="dcterms:W3CDTF">2023-02-17T04:15:11Z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